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8995B2" w14:textId="77777777" w:rsidR="00AC5A22" w:rsidRDefault="00AC5A22" w:rsidP="00AC5A22">
      <w:pPr>
        <w:spacing w:after="60"/>
        <w:rPr>
          <w:rFonts w:ascii="Aptos" w:hAnsi="Aptos"/>
          <w:b/>
          <w:bCs/>
          <w:color w:val="000000" w:themeColor="text1"/>
          <w:sz w:val="24"/>
          <w:szCs w:val="24"/>
        </w:rPr>
      </w:pPr>
    </w:p>
    <w:p w14:paraId="2AD91241" w14:textId="6024D198" w:rsidR="00AC5A22" w:rsidRPr="00AC5A22" w:rsidRDefault="00AC5A22" w:rsidP="00AC5A22">
      <w:pPr>
        <w:spacing w:after="60"/>
        <w:rPr>
          <w:rFonts w:ascii="Aptos" w:hAnsi="Aptos"/>
          <w:color w:val="000000" w:themeColor="text1"/>
          <w:sz w:val="24"/>
          <w:szCs w:val="24"/>
        </w:rPr>
      </w:pPr>
      <w:r w:rsidRPr="00AC5A22">
        <w:rPr>
          <w:rFonts w:ascii="Aptos" w:hAnsi="Aptos"/>
          <w:b/>
          <w:bCs/>
          <w:color w:val="000000" w:themeColor="text1"/>
          <w:sz w:val="24"/>
          <w:szCs w:val="24"/>
        </w:rPr>
        <w:t>PEAK CLUSTER PIPELINE PROPOSALS</w:t>
      </w:r>
    </w:p>
    <w:p w14:paraId="649E1F21" w14:textId="77777777" w:rsidR="00AC5A22" w:rsidRPr="00AC5A22" w:rsidRDefault="00AC5A22" w:rsidP="00AC5A22">
      <w:pPr>
        <w:spacing w:after="120"/>
        <w:rPr>
          <w:rFonts w:ascii="Aptos" w:hAnsi="Aptos"/>
          <w:color w:val="000000" w:themeColor="text1"/>
          <w:sz w:val="24"/>
          <w:szCs w:val="24"/>
        </w:rPr>
      </w:pPr>
    </w:p>
    <w:p w14:paraId="4E70187E" w14:textId="77777777" w:rsidR="00AC5A22" w:rsidRDefault="00AC5A22" w:rsidP="00AC5A22">
      <w:pPr>
        <w:spacing w:after="120"/>
        <w:rPr>
          <w:rFonts w:ascii="Aptos" w:hAnsi="Aptos"/>
          <w:b/>
          <w:bCs/>
          <w:color w:val="000000" w:themeColor="text1"/>
          <w:sz w:val="24"/>
          <w:szCs w:val="24"/>
          <w:u w:val="single"/>
        </w:rPr>
      </w:pPr>
      <w:r w:rsidRPr="00AC5A22">
        <w:rPr>
          <w:rFonts w:ascii="Aptos" w:hAnsi="Aptos"/>
          <w:b/>
          <w:bCs/>
          <w:color w:val="000000" w:themeColor="text1"/>
          <w:sz w:val="24"/>
          <w:szCs w:val="24"/>
          <w:u w:val="single"/>
        </w:rPr>
        <w:t>Crib Sheet</w:t>
      </w:r>
    </w:p>
    <w:p w14:paraId="73B4A257" w14:textId="25FF4E6B" w:rsidR="00AC5A22" w:rsidRPr="00AC5A22" w:rsidRDefault="00AC5A22" w:rsidP="00AC5A22">
      <w:pPr>
        <w:spacing w:after="120"/>
        <w:rPr>
          <w:rFonts w:ascii="Aptos" w:hAnsi="Aptos"/>
          <w:b/>
          <w:bCs/>
          <w:color w:val="000000" w:themeColor="text1"/>
          <w:sz w:val="24"/>
          <w:szCs w:val="24"/>
          <w:u w:val="single"/>
        </w:rPr>
      </w:pPr>
      <w:r>
        <w:rPr>
          <w:rFonts w:ascii="Aptos" w:hAnsi="Aptos"/>
          <w:color w:val="000000" w:themeColor="text1"/>
          <w:sz w:val="24"/>
          <w:szCs w:val="24"/>
        </w:rPr>
        <w:t>H</w:t>
      </w:r>
      <w:r w:rsidRPr="00AC5A22">
        <w:rPr>
          <w:rFonts w:ascii="Aptos" w:hAnsi="Aptos"/>
          <w:color w:val="000000" w:themeColor="text1"/>
          <w:sz w:val="24"/>
          <w:szCs w:val="24"/>
        </w:rPr>
        <w:t>ow to use this document</w:t>
      </w:r>
    </w:p>
    <w:p w14:paraId="73C4CC94" w14:textId="77777777" w:rsidR="00AC5A22" w:rsidRPr="00AC5A22" w:rsidRDefault="00AC5A22" w:rsidP="00AC5A22">
      <w:pPr>
        <w:pStyle w:val="ListParagraph"/>
        <w:numPr>
          <w:ilvl w:val="0"/>
          <w:numId w:val="46"/>
        </w:numPr>
        <w:spacing w:after="100" w:line="240" w:lineRule="auto"/>
        <w:contextualSpacing w:val="0"/>
        <w:rPr>
          <w:rFonts w:ascii="Aptos" w:hAnsi="Aptos"/>
          <w:color w:val="000000" w:themeColor="text1"/>
          <w:sz w:val="24"/>
          <w:szCs w:val="24"/>
        </w:rPr>
      </w:pPr>
      <w:r w:rsidRPr="00AC5A22">
        <w:rPr>
          <w:rFonts w:ascii="Aptos" w:hAnsi="Aptos"/>
          <w:color w:val="000000" w:themeColor="text1"/>
          <w:sz w:val="24"/>
          <w:szCs w:val="24"/>
        </w:rPr>
        <w:t>Every factual statement carries a bracketed reference number, e.g. [1], matching the numbered source list on the final page.</w:t>
      </w:r>
    </w:p>
    <w:p w14:paraId="5FE93609" w14:textId="77777777" w:rsidR="00AC5A22" w:rsidRPr="00AC5A22" w:rsidRDefault="00AC5A22" w:rsidP="00AC5A22">
      <w:pPr>
        <w:pStyle w:val="ListParagraph"/>
        <w:numPr>
          <w:ilvl w:val="0"/>
          <w:numId w:val="46"/>
        </w:numPr>
        <w:spacing w:after="100" w:line="240" w:lineRule="auto"/>
        <w:contextualSpacing w:val="0"/>
        <w:rPr>
          <w:rFonts w:ascii="Aptos" w:hAnsi="Aptos"/>
          <w:color w:val="000000" w:themeColor="text1"/>
          <w:sz w:val="24"/>
          <w:szCs w:val="24"/>
        </w:rPr>
      </w:pPr>
      <w:r w:rsidRPr="00AC5A22">
        <w:rPr>
          <w:rFonts w:ascii="Aptos" w:hAnsi="Aptos"/>
          <w:color w:val="000000" w:themeColor="text1"/>
          <w:sz w:val="24"/>
          <w:szCs w:val="24"/>
        </w:rPr>
        <w:t>Where a figure is a claim made by the developer or another party, it is attributed as such (“Peak Cluster states…”, “Breedon's consultation states…”) rather than presented as an independent fact.</w:t>
      </w:r>
    </w:p>
    <w:p w14:paraId="10CAE33F" w14:textId="77777777" w:rsidR="00AC5A22" w:rsidRPr="00AC5A22" w:rsidRDefault="00AC5A22" w:rsidP="00AC5A22">
      <w:pPr>
        <w:pStyle w:val="ListParagraph"/>
        <w:numPr>
          <w:ilvl w:val="0"/>
          <w:numId w:val="46"/>
        </w:numPr>
        <w:spacing w:after="100" w:line="240" w:lineRule="auto"/>
        <w:contextualSpacing w:val="0"/>
        <w:rPr>
          <w:rFonts w:ascii="Aptos" w:hAnsi="Aptos"/>
          <w:color w:val="000000" w:themeColor="text1"/>
          <w:sz w:val="24"/>
          <w:szCs w:val="24"/>
        </w:rPr>
      </w:pPr>
      <w:r w:rsidRPr="00AC5A22">
        <w:rPr>
          <w:rFonts w:ascii="Aptos" w:hAnsi="Aptos"/>
          <w:color w:val="000000" w:themeColor="text1"/>
          <w:sz w:val="24"/>
          <w:szCs w:val="24"/>
        </w:rPr>
        <w:t>This document is for information only. It is not legal, planning or financial advice; anyone affected by the proposals should take independent professional advice.</w:t>
      </w:r>
    </w:p>
    <w:p w14:paraId="527C918C" w14:textId="77777777" w:rsidR="00AC5A22" w:rsidRPr="00AC5A22" w:rsidRDefault="00AC5A22" w:rsidP="00AC5A22">
      <w:pPr>
        <w:pStyle w:val="ListParagraph"/>
        <w:numPr>
          <w:ilvl w:val="0"/>
          <w:numId w:val="46"/>
        </w:numPr>
        <w:spacing w:after="100" w:line="240" w:lineRule="auto"/>
        <w:contextualSpacing w:val="0"/>
        <w:rPr>
          <w:rFonts w:ascii="Aptos" w:hAnsi="Aptos"/>
          <w:color w:val="000000" w:themeColor="text1"/>
          <w:sz w:val="24"/>
          <w:szCs w:val="24"/>
        </w:rPr>
      </w:pPr>
      <w:r w:rsidRPr="00AC5A22">
        <w:rPr>
          <w:rFonts w:ascii="Aptos" w:hAnsi="Aptos"/>
          <w:color w:val="000000" w:themeColor="text1"/>
          <w:sz w:val="24"/>
          <w:szCs w:val="24"/>
        </w:rPr>
        <w:t>The project is at the pre-application stage: route, dimensions and infrastructure are not yet fixed, and figures quoted are the maximums or estimates published to date.</w:t>
      </w:r>
    </w:p>
    <w:p w14:paraId="65B90237" w14:textId="7BCC4BC5" w:rsidR="00AC5A22" w:rsidRPr="00AC5A22" w:rsidRDefault="00AC5A22" w:rsidP="00AC5A22">
      <w:pPr>
        <w:rPr>
          <w:rFonts w:ascii="Aptos" w:hAnsi="Aptos"/>
          <w:b/>
          <w:bCs/>
          <w:color w:val="000000" w:themeColor="text1"/>
          <w:sz w:val="24"/>
          <w:szCs w:val="24"/>
          <w:u w:val="single"/>
        </w:rPr>
      </w:pPr>
      <w:r w:rsidRPr="00AC5A22">
        <w:rPr>
          <w:rFonts w:ascii="Aptos" w:hAnsi="Aptos"/>
          <w:b/>
          <w:bCs/>
          <w:color w:val="000000" w:themeColor="text1"/>
          <w:sz w:val="24"/>
          <w:szCs w:val="24"/>
          <w:u w:val="single"/>
        </w:rPr>
        <w:t>A–Z of terms</w:t>
      </w:r>
    </w:p>
    <w:p w14:paraId="0596E1DC" w14:textId="77777777" w:rsidR="00AC5A22" w:rsidRPr="00AC5A22" w:rsidRDefault="00AC5A22" w:rsidP="00AC5A22">
      <w:pPr>
        <w:spacing w:after="160"/>
        <w:rPr>
          <w:rFonts w:ascii="Aptos" w:hAnsi="Aptos"/>
          <w:color w:val="000000" w:themeColor="text1"/>
          <w:sz w:val="24"/>
          <w:szCs w:val="24"/>
        </w:rPr>
      </w:pPr>
      <w:r w:rsidRPr="00AC5A22">
        <w:rPr>
          <w:rFonts w:ascii="Aptos" w:hAnsi="Aptos"/>
          <w:color w:val="000000" w:themeColor="text1"/>
          <w:sz w:val="24"/>
          <w:szCs w:val="24"/>
        </w:rPr>
        <w:t>Plain-English definitions of the terminology used in Peak Cluster's consultation material and in the planning process. The final column gives the source reference(s).</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6300"/>
        <w:gridCol w:w="700"/>
      </w:tblGrid>
      <w:tr w:rsidR="00AC5A22" w:rsidRPr="00AC5A22" w14:paraId="3C95221C" w14:textId="77777777" w:rsidTr="00DB3050">
        <w:trPr>
          <w:tblHeader/>
        </w:trPr>
        <w:tc>
          <w:tcPr>
            <w:tcW w:w="2300" w:type="dxa"/>
            <w:shd w:val="clear" w:color="auto" w:fill="1F3A5F"/>
            <w:tcMar>
              <w:top w:w="80" w:type="dxa"/>
              <w:left w:w="110" w:type="dxa"/>
              <w:bottom w:w="80" w:type="dxa"/>
              <w:right w:w="110" w:type="dxa"/>
            </w:tcMar>
          </w:tcPr>
          <w:p w14:paraId="08635B4A" w14:textId="77777777" w:rsidR="00AC5A22" w:rsidRPr="00AC5A22" w:rsidRDefault="00AC5A22" w:rsidP="00DB3050">
            <w:pPr>
              <w:spacing w:after="40"/>
              <w:rPr>
                <w:rFonts w:ascii="Aptos" w:hAnsi="Aptos"/>
                <w:color w:val="FFFF00"/>
                <w:sz w:val="24"/>
                <w:szCs w:val="24"/>
              </w:rPr>
            </w:pPr>
            <w:r w:rsidRPr="00AC5A22">
              <w:rPr>
                <w:rFonts w:ascii="Aptos" w:hAnsi="Aptos"/>
                <w:b/>
                <w:bCs/>
                <w:color w:val="FFFF00"/>
                <w:sz w:val="24"/>
                <w:szCs w:val="24"/>
              </w:rPr>
              <w:t>Term</w:t>
            </w:r>
          </w:p>
        </w:tc>
        <w:tc>
          <w:tcPr>
            <w:tcW w:w="6300" w:type="dxa"/>
            <w:shd w:val="clear" w:color="auto" w:fill="1F3A5F"/>
            <w:tcMar>
              <w:top w:w="80" w:type="dxa"/>
              <w:left w:w="110" w:type="dxa"/>
              <w:bottom w:w="80" w:type="dxa"/>
              <w:right w:w="110" w:type="dxa"/>
            </w:tcMar>
          </w:tcPr>
          <w:p w14:paraId="66B1D95B" w14:textId="77777777" w:rsidR="00AC5A22" w:rsidRPr="00AC5A22" w:rsidRDefault="00AC5A22" w:rsidP="00DB3050">
            <w:pPr>
              <w:spacing w:after="40"/>
              <w:rPr>
                <w:rFonts w:ascii="Aptos" w:hAnsi="Aptos"/>
                <w:color w:val="FFFF00"/>
                <w:sz w:val="24"/>
                <w:szCs w:val="24"/>
              </w:rPr>
            </w:pPr>
            <w:r w:rsidRPr="00AC5A22">
              <w:rPr>
                <w:rFonts w:ascii="Aptos" w:hAnsi="Aptos"/>
                <w:b/>
                <w:bCs/>
                <w:color w:val="FFFF00"/>
                <w:sz w:val="24"/>
                <w:szCs w:val="24"/>
              </w:rPr>
              <w:t>What it means</w:t>
            </w:r>
          </w:p>
        </w:tc>
        <w:tc>
          <w:tcPr>
            <w:tcW w:w="700" w:type="dxa"/>
            <w:shd w:val="clear" w:color="auto" w:fill="1F3A5F"/>
            <w:tcMar>
              <w:top w:w="80" w:type="dxa"/>
              <w:left w:w="110" w:type="dxa"/>
              <w:bottom w:w="80" w:type="dxa"/>
              <w:right w:w="110" w:type="dxa"/>
            </w:tcMar>
          </w:tcPr>
          <w:p w14:paraId="4FEC7018"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FFFF00"/>
                <w:sz w:val="24"/>
                <w:szCs w:val="24"/>
              </w:rPr>
              <w:t>Ref</w:t>
            </w:r>
          </w:p>
        </w:tc>
      </w:tr>
      <w:tr w:rsidR="00AC5A22" w:rsidRPr="00AC5A22" w14:paraId="7098023A" w14:textId="77777777" w:rsidTr="00DB3050">
        <w:tc>
          <w:tcPr>
            <w:tcW w:w="2300" w:type="dxa"/>
            <w:tcMar>
              <w:top w:w="80" w:type="dxa"/>
              <w:left w:w="110" w:type="dxa"/>
              <w:bottom w:w="80" w:type="dxa"/>
              <w:right w:w="110" w:type="dxa"/>
            </w:tcMar>
          </w:tcPr>
          <w:p w14:paraId="404A5A66"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AGI (Above Ground Installation)</w:t>
            </w:r>
          </w:p>
        </w:tc>
        <w:tc>
          <w:tcPr>
            <w:tcW w:w="6300" w:type="dxa"/>
            <w:tcMar>
              <w:top w:w="80" w:type="dxa"/>
              <w:left w:w="110" w:type="dxa"/>
              <w:bottom w:w="80" w:type="dxa"/>
              <w:right w:w="110" w:type="dxa"/>
            </w:tcMar>
          </w:tcPr>
          <w:p w14:paraId="7F7AC6CE"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A permanent, fenced surface facility on the pipeline route used to operate, monitor, inspect and maintain the pipeline. Peak Cluster's consultation material describes a series of AGIs along the route, including 'feeder' and 'connection' AGIs (e.g. a North Feeder AGI south of Chapel-</w:t>
            </w:r>
            <w:proofErr w:type="spellStart"/>
            <w:r w:rsidRPr="00AC5A22">
              <w:rPr>
                <w:rFonts w:ascii="Aptos" w:hAnsi="Aptos"/>
                <w:color w:val="000000" w:themeColor="text1"/>
                <w:sz w:val="24"/>
                <w:szCs w:val="24"/>
              </w:rPr>
              <w:t>en</w:t>
            </w:r>
            <w:proofErr w:type="spellEnd"/>
            <w:r w:rsidRPr="00AC5A22">
              <w:rPr>
                <w:rFonts w:ascii="Aptos" w:hAnsi="Aptos"/>
                <w:color w:val="000000" w:themeColor="text1"/>
                <w:sz w:val="24"/>
                <w:szCs w:val="24"/>
              </w:rPr>
              <w:t>-le-Frith and a Central Feeder AGI south-west of Macclesfield).</w:t>
            </w:r>
          </w:p>
        </w:tc>
        <w:tc>
          <w:tcPr>
            <w:tcW w:w="700" w:type="dxa"/>
            <w:tcMar>
              <w:top w:w="80" w:type="dxa"/>
              <w:left w:w="110" w:type="dxa"/>
              <w:bottom w:w="80" w:type="dxa"/>
              <w:right w:w="110" w:type="dxa"/>
            </w:tcMar>
          </w:tcPr>
          <w:p w14:paraId="2429BF2E"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[1, 12]</w:t>
            </w:r>
          </w:p>
        </w:tc>
      </w:tr>
      <w:tr w:rsidR="00AC5A22" w:rsidRPr="00AC5A22" w14:paraId="1F87C593" w14:textId="77777777" w:rsidTr="00DB3050">
        <w:tc>
          <w:tcPr>
            <w:tcW w:w="2300" w:type="dxa"/>
            <w:shd w:val="clear" w:color="auto" w:fill="E9EFF4"/>
            <w:tcMar>
              <w:top w:w="80" w:type="dxa"/>
              <w:left w:w="110" w:type="dxa"/>
              <w:bottom w:w="80" w:type="dxa"/>
              <w:right w:w="110" w:type="dxa"/>
            </w:tcMar>
          </w:tcPr>
          <w:p w14:paraId="129A65F5"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lastRenderedPageBreak/>
              <w:t>BVS (Block Valve Station)</w:t>
            </w:r>
          </w:p>
        </w:tc>
        <w:tc>
          <w:tcPr>
            <w:tcW w:w="6300" w:type="dxa"/>
            <w:shd w:val="clear" w:color="auto" w:fill="E9EFF4"/>
            <w:tcMar>
              <w:top w:w="80" w:type="dxa"/>
              <w:left w:w="110" w:type="dxa"/>
              <w:bottom w:w="80" w:type="dxa"/>
              <w:right w:w="110" w:type="dxa"/>
            </w:tcMar>
          </w:tcPr>
          <w:p w14:paraId="48461749"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A smaller installation containing valves that let the operator remotely monitor the pipeline and shut off ('isolate') sections of it, for maintenance or to limit the amount of CO₂ released in the event of an emergency. Peak Cluster states the number and locations of BVSs will be confirmed at a later stage.</w:t>
            </w:r>
          </w:p>
        </w:tc>
        <w:tc>
          <w:tcPr>
            <w:tcW w:w="700" w:type="dxa"/>
            <w:shd w:val="clear" w:color="auto" w:fill="E9EFF4"/>
            <w:tcMar>
              <w:top w:w="80" w:type="dxa"/>
              <w:left w:w="110" w:type="dxa"/>
              <w:bottom w:w="80" w:type="dxa"/>
              <w:right w:w="110" w:type="dxa"/>
            </w:tcMar>
          </w:tcPr>
          <w:p w14:paraId="43F81699"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[1]</w:t>
            </w:r>
          </w:p>
        </w:tc>
      </w:tr>
      <w:tr w:rsidR="00AC5A22" w:rsidRPr="00AC5A22" w14:paraId="0F5C9E9C" w14:textId="77777777" w:rsidTr="00DB3050">
        <w:tc>
          <w:tcPr>
            <w:tcW w:w="2300" w:type="dxa"/>
            <w:tcMar>
              <w:top w:w="80" w:type="dxa"/>
              <w:left w:w="110" w:type="dxa"/>
              <w:bottom w:w="80" w:type="dxa"/>
              <w:right w:w="110" w:type="dxa"/>
            </w:tcMar>
          </w:tcPr>
          <w:p w14:paraId="36B351A6"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Calcination</w:t>
            </w:r>
          </w:p>
        </w:tc>
        <w:tc>
          <w:tcPr>
            <w:tcW w:w="6300" w:type="dxa"/>
            <w:tcMar>
              <w:top w:w="80" w:type="dxa"/>
              <w:left w:w="110" w:type="dxa"/>
              <w:bottom w:w="80" w:type="dxa"/>
              <w:right w:w="110" w:type="dxa"/>
            </w:tcMar>
          </w:tcPr>
          <w:p w14:paraId="18501E74"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The chemical step at the heart of cement and lime </w:t>
            </w:r>
            <w:proofErr w:type="gramStart"/>
            <w:r w:rsidRPr="00AC5A22">
              <w:rPr>
                <w:rFonts w:ascii="Aptos" w:hAnsi="Aptos"/>
                <w:color w:val="000000" w:themeColor="text1"/>
                <w:sz w:val="24"/>
                <w:szCs w:val="24"/>
              </w:rPr>
              <w:t>making:</w:t>
            </w:r>
            <w:proofErr w:type="gramEnd"/>
            <w:r w:rsidRPr="00AC5A22">
              <w:rPr>
                <w:rFonts w:ascii="Aptos" w:hAnsi="Aptos"/>
                <w:color w:val="000000" w:themeColor="text1"/>
                <w:sz w:val="24"/>
                <w:szCs w:val="24"/>
              </w:rPr>
              <w:t xml:space="preserve"> limestone (calcium carbonate) is heated to convert it into calcium oxide, releasing CO₂. Peak Cluster states this process chemistry cannot be changed, which is why it argues carbon capture is the only way to cut these 'process emissions'.</w:t>
            </w:r>
          </w:p>
        </w:tc>
        <w:tc>
          <w:tcPr>
            <w:tcW w:w="700" w:type="dxa"/>
            <w:tcMar>
              <w:top w:w="80" w:type="dxa"/>
              <w:left w:w="110" w:type="dxa"/>
              <w:bottom w:w="80" w:type="dxa"/>
              <w:right w:w="110" w:type="dxa"/>
            </w:tcMar>
          </w:tcPr>
          <w:p w14:paraId="54AD171D"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[2]</w:t>
            </w:r>
          </w:p>
        </w:tc>
      </w:tr>
      <w:tr w:rsidR="00AC5A22" w:rsidRPr="00AC5A22" w14:paraId="3849B8D0" w14:textId="77777777" w:rsidTr="00DB3050">
        <w:tc>
          <w:tcPr>
            <w:tcW w:w="2300" w:type="dxa"/>
            <w:shd w:val="clear" w:color="auto" w:fill="E9EFF4"/>
            <w:tcMar>
              <w:top w:w="80" w:type="dxa"/>
              <w:left w:w="110" w:type="dxa"/>
              <w:bottom w:w="80" w:type="dxa"/>
              <w:right w:w="110" w:type="dxa"/>
            </w:tcMar>
          </w:tcPr>
          <w:p w14:paraId="6F3D8FCD"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CCS (Carbon Capture and Storage)</w:t>
            </w:r>
          </w:p>
        </w:tc>
        <w:tc>
          <w:tcPr>
            <w:tcW w:w="6300" w:type="dxa"/>
            <w:shd w:val="clear" w:color="auto" w:fill="E9EFF4"/>
            <w:tcMar>
              <w:top w:w="80" w:type="dxa"/>
              <w:left w:w="110" w:type="dxa"/>
              <w:bottom w:w="80" w:type="dxa"/>
              <w:right w:w="110" w:type="dxa"/>
            </w:tcMar>
          </w:tcPr>
          <w:p w14:paraId="27C2901A"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Technology that captures CO₂ at the point it is produced, compresses it, transports it (here, by pipeline) and injects it into geological formations for permanent storage. Peak Cluster states CCS can capture up to 95% of the CO₂ from industrial processes.</w:t>
            </w:r>
          </w:p>
        </w:tc>
        <w:tc>
          <w:tcPr>
            <w:tcW w:w="700" w:type="dxa"/>
            <w:shd w:val="clear" w:color="auto" w:fill="E9EFF4"/>
            <w:tcMar>
              <w:top w:w="80" w:type="dxa"/>
              <w:left w:w="110" w:type="dxa"/>
              <w:bottom w:w="80" w:type="dxa"/>
              <w:right w:w="110" w:type="dxa"/>
            </w:tcMar>
          </w:tcPr>
          <w:p w14:paraId="6E1F0D2F"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[2]</w:t>
            </w:r>
          </w:p>
        </w:tc>
      </w:tr>
      <w:tr w:rsidR="00AC5A22" w:rsidRPr="00AC5A22" w14:paraId="20C56635" w14:textId="77777777" w:rsidTr="00DB3050">
        <w:tc>
          <w:tcPr>
            <w:tcW w:w="2300" w:type="dxa"/>
            <w:tcMar>
              <w:top w:w="80" w:type="dxa"/>
              <w:left w:w="110" w:type="dxa"/>
              <w:bottom w:w="80" w:type="dxa"/>
              <w:right w:w="110" w:type="dxa"/>
            </w:tcMar>
          </w:tcPr>
          <w:p w14:paraId="7F43DD40"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Coastal AGI</w:t>
            </w:r>
          </w:p>
        </w:tc>
        <w:tc>
          <w:tcPr>
            <w:tcW w:w="6300" w:type="dxa"/>
            <w:tcMar>
              <w:top w:w="80" w:type="dxa"/>
              <w:left w:w="110" w:type="dxa"/>
              <w:bottom w:w="80" w:type="dxa"/>
              <w:right w:w="110" w:type="dxa"/>
            </w:tcMar>
          </w:tcPr>
          <w:p w14:paraId="698BCA59"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largest proposed installation: a compressor station near the north of the Wirral peninsula where CO₂ would be compressed, metered and monitored before being sent offshore. Peak Cluster states it would need a maximum site area of around 300 m × 180 m (excluding access), operate continuously with a small number of staff, and include a compressor, associated equipment and a chimney or vent stack. Two search areas are being considered: a 'landfall zone' and an 'inland zone'.</w:t>
            </w:r>
          </w:p>
        </w:tc>
        <w:tc>
          <w:tcPr>
            <w:tcW w:w="700" w:type="dxa"/>
            <w:tcMar>
              <w:top w:w="80" w:type="dxa"/>
              <w:left w:w="110" w:type="dxa"/>
              <w:bottom w:w="80" w:type="dxa"/>
              <w:right w:w="110" w:type="dxa"/>
            </w:tcMar>
          </w:tcPr>
          <w:p w14:paraId="32DE99F7"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[1]</w:t>
            </w:r>
          </w:p>
        </w:tc>
      </w:tr>
      <w:tr w:rsidR="00AC5A22" w:rsidRPr="00AC5A22" w14:paraId="5834C602" w14:textId="77777777" w:rsidTr="00DB3050">
        <w:tc>
          <w:tcPr>
            <w:tcW w:w="2300" w:type="dxa"/>
            <w:shd w:val="clear" w:color="auto" w:fill="E9EFF4"/>
            <w:tcMar>
              <w:top w:w="80" w:type="dxa"/>
              <w:left w:w="110" w:type="dxa"/>
              <w:bottom w:w="80" w:type="dxa"/>
              <w:right w:w="110" w:type="dxa"/>
            </w:tcMar>
          </w:tcPr>
          <w:p w14:paraId="4FEED20D"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Compulsory acquisition</w:t>
            </w:r>
          </w:p>
        </w:tc>
        <w:tc>
          <w:tcPr>
            <w:tcW w:w="6300" w:type="dxa"/>
            <w:shd w:val="clear" w:color="auto" w:fill="E9EFF4"/>
            <w:tcMar>
              <w:top w:w="80" w:type="dxa"/>
              <w:left w:w="110" w:type="dxa"/>
              <w:bottom w:w="80" w:type="dxa"/>
              <w:right w:w="110" w:type="dxa"/>
            </w:tcMar>
          </w:tcPr>
          <w:p w14:paraId="17FD0B8D"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Powers, granted through a DCO, that allow a developer to acquire land or rights over land (such as easements) </w:t>
            </w:r>
            <w:r w:rsidRPr="00AC5A22">
              <w:rPr>
                <w:rFonts w:ascii="Aptos" w:hAnsi="Aptos"/>
                <w:color w:val="000000" w:themeColor="text1"/>
                <w:sz w:val="24"/>
                <w:szCs w:val="24"/>
              </w:rPr>
              <w:lastRenderedPageBreak/>
              <w:t>without the owner's agreement, with compensation. Rural professional advisers have warned landowners along the route to understand their compensation and negotiation rights.</w:t>
            </w:r>
          </w:p>
        </w:tc>
        <w:tc>
          <w:tcPr>
            <w:tcW w:w="700" w:type="dxa"/>
            <w:shd w:val="clear" w:color="auto" w:fill="E9EFF4"/>
            <w:tcMar>
              <w:top w:w="80" w:type="dxa"/>
              <w:left w:w="110" w:type="dxa"/>
              <w:bottom w:w="80" w:type="dxa"/>
              <w:right w:w="110" w:type="dxa"/>
            </w:tcMar>
          </w:tcPr>
          <w:p w14:paraId="61B0D6FE"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lastRenderedPageBreak/>
              <w:t>[9, 13]</w:t>
            </w:r>
          </w:p>
        </w:tc>
      </w:tr>
      <w:tr w:rsidR="00AC5A22" w:rsidRPr="00AC5A22" w14:paraId="71C4E59A" w14:textId="77777777" w:rsidTr="00DB3050">
        <w:tc>
          <w:tcPr>
            <w:tcW w:w="2300" w:type="dxa"/>
            <w:tcMar>
              <w:top w:w="80" w:type="dxa"/>
              <w:left w:w="110" w:type="dxa"/>
              <w:bottom w:w="80" w:type="dxa"/>
              <w:right w:w="110" w:type="dxa"/>
            </w:tcMar>
          </w:tcPr>
          <w:p w14:paraId="7B9D1E9A"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Construction corridor / working width</w:t>
            </w:r>
          </w:p>
        </w:tc>
        <w:tc>
          <w:tcPr>
            <w:tcW w:w="6300" w:type="dxa"/>
            <w:tcMar>
              <w:top w:w="80" w:type="dxa"/>
              <w:left w:w="110" w:type="dxa"/>
              <w:bottom w:w="80" w:type="dxa"/>
              <w:right w:w="110" w:type="dxa"/>
            </w:tcMar>
          </w:tcPr>
          <w:p w14:paraId="55ABFF04"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The temporary strip of land needed while the pipeline is built — for the trench, soil storage, vehicles and equipment. Public reporting describes a working corridor of around 30 </w:t>
            </w:r>
            <w:proofErr w:type="spellStart"/>
            <w:r w:rsidRPr="00AC5A22">
              <w:rPr>
                <w:rFonts w:ascii="Aptos" w:hAnsi="Aptos"/>
                <w:color w:val="000000" w:themeColor="text1"/>
                <w:sz w:val="24"/>
                <w:szCs w:val="24"/>
              </w:rPr>
              <w:t>metres</w:t>
            </w:r>
            <w:proofErr w:type="spellEnd"/>
            <w:r w:rsidRPr="00AC5A22">
              <w:rPr>
                <w:rFonts w:ascii="Aptos" w:hAnsi="Aptos"/>
                <w:color w:val="000000" w:themeColor="text1"/>
                <w:sz w:val="24"/>
                <w:szCs w:val="24"/>
              </w:rPr>
              <w:t xml:space="preserve"> during construction, within a much wider 'scoping corridor' shown on early plans (reported at up to 300 m wide, expected to narrow as the design develops).</w:t>
            </w:r>
          </w:p>
        </w:tc>
        <w:tc>
          <w:tcPr>
            <w:tcW w:w="700" w:type="dxa"/>
            <w:tcMar>
              <w:top w:w="80" w:type="dxa"/>
              <w:left w:w="110" w:type="dxa"/>
              <w:bottom w:w="80" w:type="dxa"/>
              <w:right w:w="110" w:type="dxa"/>
            </w:tcMar>
          </w:tcPr>
          <w:p w14:paraId="42632D12"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[3, 4]</w:t>
            </w:r>
          </w:p>
        </w:tc>
      </w:tr>
      <w:tr w:rsidR="00AC5A22" w:rsidRPr="00AC5A22" w14:paraId="312689E3" w14:textId="77777777" w:rsidTr="00DB3050">
        <w:tc>
          <w:tcPr>
            <w:tcW w:w="2300" w:type="dxa"/>
            <w:shd w:val="clear" w:color="auto" w:fill="E9EFF4"/>
            <w:tcMar>
              <w:top w:w="80" w:type="dxa"/>
              <w:left w:w="110" w:type="dxa"/>
              <w:bottom w:w="80" w:type="dxa"/>
              <w:right w:w="110" w:type="dxa"/>
            </w:tcMar>
          </w:tcPr>
          <w:p w14:paraId="29A92B86"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DCO (Development Consent Order)</w:t>
            </w:r>
          </w:p>
        </w:tc>
        <w:tc>
          <w:tcPr>
            <w:tcW w:w="6300" w:type="dxa"/>
            <w:shd w:val="clear" w:color="auto" w:fill="E9EFF4"/>
            <w:tcMar>
              <w:top w:w="80" w:type="dxa"/>
              <w:left w:w="110" w:type="dxa"/>
              <w:bottom w:w="80" w:type="dxa"/>
              <w:right w:w="110" w:type="dxa"/>
            </w:tcMar>
          </w:tcPr>
          <w:p w14:paraId="59F780C8"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single legal consent required for a Nationally Significant Infrastructure Project under the Planning Act 2008. It is granted (or refused) by the Secretary of State, not local councils, and can include compulsory acquisition powers. The Planning Inspectorate lists Peak Cluster's DCO application as expected to be submitted in September 2027.</w:t>
            </w:r>
          </w:p>
        </w:tc>
        <w:tc>
          <w:tcPr>
            <w:tcW w:w="700" w:type="dxa"/>
            <w:shd w:val="clear" w:color="auto" w:fill="E9EFF4"/>
            <w:tcMar>
              <w:top w:w="80" w:type="dxa"/>
              <w:left w:w="110" w:type="dxa"/>
              <w:bottom w:w="80" w:type="dxa"/>
              <w:right w:w="110" w:type="dxa"/>
            </w:tcMar>
          </w:tcPr>
          <w:p w14:paraId="07144EFA"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[5, 6]</w:t>
            </w:r>
          </w:p>
        </w:tc>
      </w:tr>
      <w:tr w:rsidR="00AC5A22" w:rsidRPr="00AC5A22" w14:paraId="5E4D4FFA" w14:textId="77777777" w:rsidTr="00DB3050">
        <w:tc>
          <w:tcPr>
            <w:tcW w:w="2300" w:type="dxa"/>
            <w:tcMar>
              <w:top w:w="80" w:type="dxa"/>
              <w:left w:w="110" w:type="dxa"/>
              <w:bottom w:w="80" w:type="dxa"/>
              <w:right w:w="110" w:type="dxa"/>
            </w:tcMar>
          </w:tcPr>
          <w:p w14:paraId="2E84A4BB"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DESNZ / Secretary of State</w:t>
            </w:r>
          </w:p>
        </w:tc>
        <w:tc>
          <w:tcPr>
            <w:tcW w:w="6300" w:type="dxa"/>
            <w:tcMar>
              <w:top w:w="80" w:type="dxa"/>
              <w:left w:w="110" w:type="dxa"/>
              <w:bottom w:w="80" w:type="dxa"/>
              <w:right w:w="110" w:type="dxa"/>
            </w:tcMar>
          </w:tcPr>
          <w:p w14:paraId="31B0568D"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Department for Energy Security and Net Zero. Because Peak Cluster is an NSIP, the final decision on the DCO rests with the Secretary of State for Energy Security and Net Zero.</w:t>
            </w:r>
          </w:p>
        </w:tc>
        <w:tc>
          <w:tcPr>
            <w:tcW w:w="700" w:type="dxa"/>
            <w:tcMar>
              <w:top w:w="80" w:type="dxa"/>
              <w:left w:w="110" w:type="dxa"/>
              <w:bottom w:w="80" w:type="dxa"/>
              <w:right w:w="110" w:type="dxa"/>
            </w:tcMar>
          </w:tcPr>
          <w:p w14:paraId="54F5370A"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[6]</w:t>
            </w:r>
          </w:p>
        </w:tc>
      </w:tr>
      <w:tr w:rsidR="00AC5A22" w:rsidRPr="00AC5A22" w14:paraId="50607A58" w14:textId="77777777" w:rsidTr="00DB3050">
        <w:tc>
          <w:tcPr>
            <w:tcW w:w="2300" w:type="dxa"/>
            <w:shd w:val="clear" w:color="auto" w:fill="E9EFF4"/>
            <w:tcMar>
              <w:top w:w="80" w:type="dxa"/>
              <w:left w:w="110" w:type="dxa"/>
              <w:bottom w:w="80" w:type="dxa"/>
              <w:right w:w="110" w:type="dxa"/>
            </w:tcMar>
          </w:tcPr>
          <w:p w14:paraId="5701FF63"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Easement</w:t>
            </w:r>
          </w:p>
        </w:tc>
        <w:tc>
          <w:tcPr>
            <w:tcW w:w="6300" w:type="dxa"/>
            <w:shd w:val="clear" w:color="auto" w:fill="E9EFF4"/>
            <w:tcMar>
              <w:top w:w="80" w:type="dxa"/>
              <w:left w:w="110" w:type="dxa"/>
              <w:bottom w:w="80" w:type="dxa"/>
              <w:right w:w="110" w:type="dxa"/>
            </w:tcMar>
          </w:tcPr>
          <w:p w14:paraId="02AF6371"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A permanent legal right over someone else's land — here, the right to lay, keep and access a pipeline beneath it. Land above the pipe is intended to be restored and farmed again, subject to restrictions in the easement.</w:t>
            </w:r>
          </w:p>
        </w:tc>
        <w:tc>
          <w:tcPr>
            <w:tcW w:w="700" w:type="dxa"/>
            <w:shd w:val="clear" w:color="auto" w:fill="E9EFF4"/>
            <w:tcMar>
              <w:top w:w="80" w:type="dxa"/>
              <w:left w:w="110" w:type="dxa"/>
              <w:bottom w:w="80" w:type="dxa"/>
              <w:right w:w="110" w:type="dxa"/>
            </w:tcMar>
          </w:tcPr>
          <w:p w14:paraId="1D869DCD"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[9]</w:t>
            </w:r>
          </w:p>
        </w:tc>
      </w:tr>
      <w:tr w:rsidR="00AC5A22" w:rsidRPr="00AC5A22" w14:paraId="3FC24EE7" w14:textId="77777777" w:rsidTr="00DB3050">
        <w:tc>
          <w:tcPr>
            <w:tcW w:w="2300" w:type="dxa"/>
            <w:tcMar>
              <w:top w:w="80" w:type="dxa"/>
              <w:left w:w="110" w:type="dxa"/>
              <w:bottom w:w="80" w:type="dxa"/>
              <w:right w:w="110" w:type="dxa"/>
            </w:tcMar>
          </w:tcPr>
          <w:p w14:paraId="20426DA5"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lastRenderedPageBreak/>
              <w:t>EIA (Environmental Impact Assessment)</w:t>
            </w:r>
          </w:p>
        </w:tc>
        <w:tc>
          <w:tcPr>
            <w:tcW w:w="6300" w:type="dxa"/>
            <w:tcMar>
              <w:top w:w="80" w:type="dxa"/>
              <w:left w:w="110" w:type="dxa"/>
              <w:bottom w:w="80" w:type="dxa"/>
              <w:right w:w="110" w:type="dxa"/>
            </w:tcMar>
          </w:tcPr>
          <w:p w14:paraId="2F750718"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The formal assessment of a project's likely significant environmental effects, during construction and operation, which must accompany the DCO application. Arup has been appointed to lead the EIA and DCO work for Peak Cluster, supported by AECOM and </w:t>
            </w:r>
            <w:proofErr w:type="spellStart"/>
            <w:r w:rsidRPr="00AC5A22">
              <w:rPr>
                <w:rFonts w:ascii="Aptos" w:hAnsi="Aptos"/>
                <w:color w:val="000000" w:themeColor="text1"/>
                <w:sz w:val="24"/>
                <w:szCs w:val="24"/>
              </w:rPr>
              <w:t>Quod</w:t>
            </w:r>
            <w:proofErr w:type="spellEnd"/>
            <w:r w:rsidRPr="00AC5A22">
              <w:rPr>
                <w:rFonts w:ascii="Aptos" w:hAnsi="Aptos"/>
                <w:color w:val="000000" w:themeColor="text1"/>
                <w:sz w:val="24"/>
                <w:szCs w:val="24"/>
              </w:rPr>
              <w:t>.</w:t>
            </w:r>
          </w:p>
        </w:tc>
        <w:tc>
          <w:tcPr>
            <w:tcW w:w="700" w:type="dxa"/>
            <w:tcMar>
              <w:top w:w="80" w:type="dxa"/>
              <w:left w:w="110" w:type="dxa"/>
              <w:bottom w:w="80" w:type="dxa"/>
              <w:right w:w="110" w:type="dxa"/>
            </w:tcMar>
          </w:tcPr>
          <w:p w14:paraId="379DE761"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[7]</w:t>
            </w:r>
          </w:p>
        </w:tc>
      </w:tr>
      <w:tr w:rsidR="00AC5A22" w:rsidRPr="00AC5A22" w14:paraId="50C95A16" w14:textId="77777777" w:rsidTr="00DB3050">
        <w:tc>
          <w:tcPr>
            <w:tcW w:w="2300" w:type="dxa"/>
            <w:shd w:val="clear" w:color="auto" w:fill="E9EFF4"/>
            <w:tcMar>
              <w:top w:w="80" w:type="dxa"/>
              <w:left w:w="110" w:type="dxa"/>
              <w:bottom w:w="80" w:type="dxa"/>
              <w:right w:w="110" w:type="dxa"/>
            </w:tcMar>
          </w:tcPr>
          <w:p w14:paraId="1C59C584"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HDD (Horizontal Directional Drilling)</w:t>
            </w:r>
          </w:p>
        </w:tc>
        <w:tc>
          <w:tcPr>
            <w:tcW w:w="6300" w:type="dxa"/>
            <w:shd w:val="clear" w:color="auto" w:fill="E9EFF4"/>
            <w:tcMar>
              <w:top w:w="80" w:type="dxa"/>
              <w:left w:w="110" w:type="dxa"/>
              <w:bottom w:w="80" w:type="dxa"/>
              <w:right w:w="110" w:type="dxa"/>
            </w:tcMar>
          </w:tcPr>
          <w:p w14:paraId="3AFB2B60"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A 'trenchless' construction technique that drills the pipeline underneath obstacles - rivers, major roads, sensitive habitats - without opening the surface. Reported as the method to be used where open trenching is unsuitable.</w:t>
            </w:r>
          </w:p>
        </w:tc>
        <w:tc>
          <w:tcPr>
            <w:tcW w:w="700" w:type="dxa"/>
            <w:shd w:val="clear" w:color="auto" w:fill="E9EFF4"/>
            <w:tcMar>
              <w:top w:w="80" w:type="dxa"/>
              <w:left w:w="110" w:type="dxa"/>
              <w:bottom w:w="80" w:type="dxa"/>
              <w:right w:w="110" w:type="dxa"/>
            </w:tcMar>
          </w:tcPr>
          <w:p w14:paraId="50BBD438"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[3]</w:t>
            </w:r>
          </w:p>
        </w:tc>
      </w:tr>
      <w:tr w:rsidR="00AC5A22" w:rsidRPr="00AC5A22" w14:paraId="16109EC8" w14:textId="77777777" w:rsidTr="00DB3050">
        <w:tc>
          <w:tcPr>
            <w:tcW w:w="2300" w:type="dxa"/>
            <w:tcMar>
              <w:top w:w="80" w:type="dxa"/>
              <w:left w:w="110" w:type="dxa"/>
              <w:bottom w:w="80" w:type="dxa"/>
              <w:right w:w="110" w:type="dxa"/>
            </w:tcMar>
          </w:tcPr>
          <w:p w14:paraId="5791CD7D"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Landfall</w:t>
            </w:r>
          </w:p>
        </w:tc>
        <w:tc>
          <w:tcPr>
            <w:tcW w:w="6300" w:type="dxa"/>
            <w:tcMar>
              <w:top w:w="80" w:type="dxa"/>
              <w:left w:w="110" w:type="dxa"/>
              <w:bottom w:w="80" w:type="dxa"/>
              <w:right w:w="110" w:type="dxa"/>
            </w:tcMar>
          </w:tcPr>
          <w:p w14:paraId="0F8529E7"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point where the onshore pipeline meets the sea and transitions to the offshore pipeline(s) - proposed at the northern end of the Wirral peninsula.</w:t>
            </w:r>
          </w:p>
        </w:tc>
        <w:tc>
          <w:tcPr>
            <w:tcW w:w="700" w:type="dxa"/>
            <w:tcMar>
              <w:top w:w="80" w:type="dxa"/>
              <w:left w:w="110" w:type="dxa"/>
              <w:bottom w:w="80" w:type="dxa"/>
              <w:right w:w="110" w:type="dxa"/>
            </w:tcMar>
          </w:tcPr>
          <w:p w14:paraId="02A52F34"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[1, 6]</w:t>
            </w:r>
          </w:p>
        </w:tc>
      </w:tr>
      <w:tr w:rsidR="00AC5A22" w:rsidRPr="00AC5A22" w14:paraId="59FF61EC" w14:textId="77777777" w:rsidTr="00DB3050">
        <w:tc>
          <w:tcPr>
            <w:tcW w:w="2300" w:type="dxa"/>
            <w:shd w:val="clear" w:color="auto" w:fill="E9EFF4"/>
            <w:tcMar>
              <w:top w:w="80" w:type="dxa"/>
              <w:left w:w="110" w:type="dxa"/>
              <w:bottom w:w="80" w:type="dxa"/>
              <w:right w:w="110" w:type="dxa"/>
            </w:tcMar>
          </w:tcPr>
          <w:p w14:paraId="16A81DAD"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Limestone (calcium carbonate)</w:t>
            </w:r>
          </w:p>
        </w:tc>
        <w:tc>
          <w:tcPr>
            <w:tcW w:w="6300" w:type="dxa"/>
            <w:shd w:val="clear" w:color="auto" w:fill="E9EFF4"/>
            <w:tcMar>
              <w:top w:w="80" w:type="dxa"/>
              <w:left w:w="110" w:type="dxa"/>
              <w:bottom w:w="80" w:type="dxa"/>
              <w:right w:w="110" w:type="dxa"/>
            </w:tcMar>
          </w:tcPr>
          <w:p w14:paraId="4A87371C"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raw material for both cement and lime, quarried at each of the plants in the scheme. The Derbyshire/Staffordshire deposits are Carboniferous limestone of unusually high purity.</w:t>
            </w:r>
          </w:p>
        </w:tc>
        <w:tc>
          <w:tcPr>
            <w:tcW w:w="700" w:type="dxa"/>
            <w:shd w:val="clear" w:color="auto" w:fill="E9EFF4"/>
            <w:tcMar>
              <w:top w:w="80" w:type="dxa"/>
              <w:left w:w="110" w:type="dxa"/>
              <w:bottom w:w="80" w:type="dxa"/>
              <w:right w:w="110" w:type="dxa"/>
            </w:tcMar>
          </w:tcPr>
          <w:p w14:paraId="405A0F07"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[2, 8]</w:t>
            </w:r>
          </w:p>
        </w:tc>
      </w:tr>
      <w:tr w:rsidR="00AC5A22" w:rsidRPr="00AC5A22" w14:paraId="57A29DC5" w14:textId="77777777" w:rsidTr="00DB3050">
        <w:tc>
          <w:tcPr>
            <w:tcW w:w="2300" w:type="dxa"/>
            <w:tcMar>
              <w:top w:w="80" w:type="dxa"/>
              <w:left w:w="110" w:type="dxa"/>
              <w:bottom w:w="80" w:type="dxa"/>
              <w:right w:w="110" w:type="dxa"/>
            </w:tcMar>
          </w:tcPr>
          <w:p w14:paraId="355C8788"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MNZ (Morecambe Net Zero)</w:t>
            </w:r>
          </w:p>
        </w:tc>
        <w:tc>
          <w:tcPr>
            <w:tcW w:w="6300" w:type="dxa"/>
            <w:tcMar>
              <w:top w:w="80" w:type="dxa"/>
              <w:left w:w="110" w:type="dxa"/>
              <w:bottom w:w="80" w:type="dxa"/>
              <w:right w:w="110" w:type="dxa"/>
            </w:tcMar>
          </w:tcPr>
          <w:p w14:paraId="39C83C5B"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Spirit Energy's proposed CO₂ storage project: depleted natural gas reservoirs beneath the East Irish Sea (Morecambe Bay) would be repurposed to store CO₂ permanently. MNZ is a separate but linked project — Peak Cluster delivers the CO₂ to it.</w:t>
            </w:r>
          </w:p>
        </w:tc>
        <w:tc>
          <w:tcPr>
            <w:tcW w:w="700" w:type="dxa"/>
            <w:tcMar>
              <w:top w:w="80" w:type="dxa"/>
              <w:left w:w="110" w:type="dxa"/>
              <w:bottom w:w="80" w:type="dxa"/>
              <w:right w:w="110" w:type="dxa"/>
            </w:tcMar>
          </w:tcPr>
          <w:p w14:paraId="51C041A1"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[2, 7]</w:t>
            </w:r>
          </w:p>
        </w:tc>
      </w:tr>
      <w:tr w:rsidR="00AC5A22" w:rsidRPr="00AC5A22" w14:paraId="457D0002" w14:textId="77777777" w:rsidTr="00DB3050">
        <w:tc>
          <w:tcPr>
            <w:tcW w:w="2300" w:type="dxa"/>
            <w:shd w:val="clear" w:color="auto" w:fill="E9EFF4"/>
            <w:tcMar>
              <w:top w:w="80" w:type="dxa"/>
              <w:left w:w="110" w:type="dxa"/>
              <w:bottom w:w="80" w:type="dxa"/>
              <w:right w:w="110" w:type="dxa"/>
            </w:tcMar>
          </w:tcPr>
          <w:p w14:paraId="148B7812"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NSIP (Nationally Significant Infrastructure Project)</w:t>
            </w:r>
          </w:p>
        </w:tc>
        <w:tc>
          <w:tcPr>
            <w:tcW w:w="6300" w:type="dxa"/>
            <w:shd w:val="clear" w:color="auto" w:fill="E9EFF4"/>
            <w:tcMar>
              <w:top w:w="80" w:type="dxa"/>
              <w:left w:w="110" w:type="dxa"/>
              <w:bottom w:w="80" w:type="dxa"/>
              <w:right w:w="110" w:type="dxa"/>
            </w:tcMar>
          </w:tcPr>
          <w:p w14:paraId="4589F46D"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A category of large infrastructure project defined by the Planning Act 2008. NSIP status means the project bypasses the normal local planning system and is consented through the DCO process instead. Peak Cluster has this status because of its scale.</w:t>
            </w:r>
          </w:p>
        </w:tc>
        <w:tc>
          <w:tcPr>
            <w:tcW w:w="700" w:type="dxa"/>
            <w:shd w:val="clear" w:color="auto" w:fill="E9EFF4"/>
            <w:tcMar>
              <w:top w:w="80" w:type="dxa"/>
              <w:left w:w="110" w:type="dxa"/>
              <w:bottom w:w="80" w:type="dxa"/>
              <w:right w:w="110" w:type="dxa"/>
            </w:tcMar>
          </w:tcPr>
          <w:p w14:paraId="5872C1AD"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[5, 10]</w:t>
            </w:r>
          </w:p>
        </w:tc>
      </w:tr>
      <w:tr w:rsidR="00AC5A22" w:rsidRPr="00AC5A22" w14:paraId="326402DE" w14:textId="77777777" w:rsidTr="00DB3050">
        <w:tc>
          <w:tcPr>
            <w:tcW w:w="2300" w:type="dxa"/>
            <w:tcMar>
              <w:top w:w="80" w:type="dxa"/>
              <w:left w:w="110" w:type="dxa"/>
              <w:bottom w:w="80" w:type="dxa"/>
              <w:right w:w="110" w:type="dxa"/>
            </w:tcMar>
          </w:tcPr>
          <w:p w14:paraId="677637B9"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lastRenderedPageBreak/>
              <w:t>National Wealth Fund</w:t>
            </w:r>
          </w:p>
        </w:tc>
        <w:tc>
          <w:tcPr>
            <w:tcW w:w="6300" w:type="dxa"/>
            <w:tcMar>
              <w:top w:w="80" w:type="dxa"/>
              <w:left w:w="110" w:type="dxa"/>
              <w:bottom w:w="80" w:type="dxa"/>
              <w:right w:w="110" w:type="dxa"/>
            </w:tcMar>
          </w:tcPr>
          <w:p w14:paraId="3D449CBC"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UK Government's investment body. It has invested £28.6 million in Peak Cluster, which the project states unlocked £31 million from private partners.</w:t>
            </w:r>
          </w:p>
        </w:tc>
        <w:tc>
          <w:tcPr>
            <w:tcW w:w="700" w:type="dxa"/>
            <w:tcMar>
              <w:top w:w="80" w:type="dxa"/>
              <w:left w:w="110" w:type="dxa"/>
              <w:bottom w:w="80" w:type="dxa"/>
              <w:right w:w="110" w:type="dxa"/>
            </w:tcMar>
          </w:tcPr>
          <w:p w14:paraId="0C3D9AB0"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[11]</w:t>
            </w:r>
          </w:p>
        </w:tc>
      </w:tr>
      <w:tr w:rsidR="00AC5A22" w:rsidRPr="00AC5A22" w14:paraId="730DC5B0" w14:textId="77777777" w:rsidTr="00DB3050">
        <w:tc>
          <w:tcPr>
            <w:tcW w:w="2300" w:type="dxa"/>
            <w:shd w:val="clear" w:color="auto" w:fill="E9EFF4"/>
            <w:tcMar>
              <w:top w:w="80" w:type="dxa"/>
              <w:left w:w="110" w:type="dxa"/>
              <w:bottom w:w="80" w:type="dxa"/>
              <w:right w:w="110" w:type="dxa"/>
            </w:tcMar>
          </w:tcPr>
          <w:p w14:paraId="41CEC994"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Open trench (open cut)</w:t>
            </w:r>
          </w:p>
        </w:tc>
        <w:tc>
          <w:tcPr>
            <w:tcW w:w="6300" w:type="dxa"/>
            <w:shd w:val="clear" w:color="auto" w:fill="E9EFF4"/>
            <w:tcMar>
              <w:top w:w="80" w:type="dxa"/>
              <w:left w:w="110" w:type="dxa"/>
              <w:bottom w:w="80" w:type="dxa"/>
              <w:right w:w="110" w:type="dxa"/>
            </w:tcMar>
          </w:tcPr>
          <w:p w14:paraId="3517FED2"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standard construction method for most of the route: excavate a trench, lay the pipe, backfill with the original soil, and reinstate the surface.</w:t>
            </w:r>
          </w:p>
        </w:tc>
        <w:tc>
          <w:tcPr>
            <w:tcW w:w="700" w:type="dxa"/>
            <w:shd w:val="clear" w:color="auto" w:fill="E9EFF4"/>
            <w:tcMar>
              <w:top w:w="80" w:type="dxa"/>
              <w:left w:w="110" w:type="dxa"/>
              <w:bottom w:w="80" w:type="dxa"/>
              <w:right w:w="110" w:type="dxa"/>
            </w:tcMar>
          </w:tcPr>
          <w:p w14:paraId="74977FC6"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[3]</w:t>
            </w:r>
          </w:p>
        </w:tc>
      </w:tr>
      <w:tr w:rsidR="00AC5A22" w:rsidRPr="00AC5A22" w14:paraId="709CB0EC" w14:textId="77777777" w:rsidTr="00DB3050">
        <w:tc>
          <w:tcPr>
            <w:tcW w:w="2300" w:type="dxa"/>
            <w:tcMar>
              <w:top w:w="80" w:type="dxa"/>
              <w:left w:w="110" w:type="dxa"/>
              <w:bottom w:w="80" w:type="dxa"/>
              <w:right w:w="110" w:type="dxa"/>
            </w:tcMar>
          </w:tcPr>
          <w:p w14:paraId="7265ED64"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PCL (Peak Cluster Limited)</w:t>
            </w:r>
          </w:p>
        </w:tc>
        <w:tc>
          <w:tcPr>
            <w:tcW w:w="6300" w:type="dxa"/>
            <w:tcMar>
              <w:top w:w="80" w:type="dxa"/>
              <w:left w:w="110" w:type="dxa"/>
              <w:bottom w:w="80" w:type="dxa"/>
              <w:right w:w="110" w:type="dxa"/>
            </w:tcMar>
          </w:tcPr>
          <w:p w14:paraId="4B510A4A"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special purpose joint venture company funding development of the onshore pipeline. Its shareholders are the cement and lime operators (Breedon, Tarmac, Holcim and Buxton Lime), developer Progressive Energy, Summit Energy Evolution Limited (a subsidiary of Sumitomo Corporation) and the UK National Wealth Fund.</w:t>
            </w:r>
          </w:p>
        </w:tc>
        <w:tc>
          <w:tcPr>
            <w:tcW w:w="700" w:type="dxa"/>
            <w:tcMar>
              <w:top w:w="80" w:type="dxa"/>
              <w:left w:w="110" w:type="dxa"/>
              <w:bottom w:w="80" w:type="dxa"/>
              <w:right w:w="110" w:type="dxa"/>
            </w:tcMar>
          </w:tcPr>
          <w:p w14:paraId="7F04A78C"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[1]</w:t>
            </w:r>
          </w:p>
        </w:tc>
      </w:tr>
      <w:tr w:rsidR="00AC5A22" w:rsidRPr="00AC5A22" w14:paraId="1068B829" w14:textId="77777777" w:rsidTr="00DB3050">
        <w:tc>
          <w:tcPr>
            <w:tcW w:w="2300" w:type="dxa"/>
            <w:shd w:val="clear" w:color="auto" w:fill="E9EFF4"/>
            <w:tcMar>
              <w:top w:w="80" w:type="dxa"/>
              <w:left w:w="110" w:type="dxa"/>
              <w:bottom w:w="80" w:type="dxa"/>
              <w:right w:w="110" w:type="dxa"/>
            </w:tcMar>
          </w:tcPr>
          <w:p w14:paraId="463C52BB"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PINS (Planning Inspectorate)</w:t>
            </w:r>
          </w:p>
        </w:tc>
        <w:tc>
          <w:tcPr>
            <w:tcW w:w="6300" w:type="dxa"/>
            <w:shd w:val="clear" w:color="auto" w:fill="E9EFF4"/>
            <w:tcMar>
              <w:top w:w="80" w:type="dxa"/>
              <w:left w:w="110" w:type="dxa"/>
              <w:bottom w:w="80" w:type="dxa"/>
              <w:right w:w="110" w:type="dxa"/>
            </w:tcMar>
          </w:tcPr>
          <w:p w14:paraId="133EB9A9"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government agency that administers the DCO process: it examines the application at a public examination and recommends a decision to the Secretary of State. Members of the public register as 'Interested Parties' to take part once an application is accepted.</w:t>
            </w:r>
          </w:p>
        </w:tc>
        <w:tc>
          <w:tcPr>
            <w:tcW w:w="700" w:type="dxa"/>
            <w:shd w:val="clear" w:color="auto" w:fill="E9EFF4"/>
            <w:tcMar>
              <w:top w:w="80" w:type="dxa"/>
              <w:left w:w="110" w:type="dxa"/>
              <w:bottom w:w="80" w:type="dxa"/>
              <w:right w:w="110" w:type="dxa"/>
            </w:tcMar>
          </w:tcPr>
          <w:p w14:paraId="6865472F"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[6]</w:t>
            </w:r>
          </w:p>
        </w:tc>
      </w:tr>
      <w:tr w:rsidR="00AC5A22" w:rsidRPr="00AC5A22" w14:paraId="5FEF9D53" w14:textId="77777777" w:rsidTr="00DB3050">
        <w:tc>
          <w:tcPr>
            <w:tcW w:w="2300" w:type="dxa"/>
            <w:tcMar>
              <w:top w:w="80" w:type="dxa"/>
              <w:left w:w="110" w:type="dxa"/>
              <w:bottom w:w="80" w:type="dxa"/>
              <w:right w:w="110" w:type="dxa"/>
            </w:tcMar>
          </w:tcPr>
          <w:p w14:paraId="1C6DA775"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Pre-application</w:t>
            </w:r>
          </w:p>
        </w:tc>
        <w:tc>
          <w:tcPr>
            <w:tcW w:w="6300" w:type="dxa"/>
            <w:tcMar>
              <w:top w:w="80" w:type="dxa"/>
              <w:left w:w="110" w:type="dxa"/>
              <w:bottom w:w="80" w:type="dxa"/>
              <w:right w:w="110" w:type="dxa"/>
            </w:tcMar>
          </w:tcPr>
          <w:p w14:paraId="35BDED93"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current stage of the project (as listed by the Planning Inspectorate): the developer consults, surveys and designs before formally submitting the DCO application. Statutory consultation is a legal requirement of this stage.</w:t>
            </w:r>
          </w:p>
        </w:tc>
        <w:tc>
          <w:tcPr>
            <w:tcW w:w="700" w:type="dxa"/>
            <w:tcMar>
              <w:top w:w="80" w:type="dxa"/>
              <w:left w:w="110" w:type="dxa"/>
              <w:bottom w:w="80" w:type="dxa"/>
              <w:right w:w="110" w:type="dxa"/>
            </w:tcMar>
          </w:tcPr>
          <w:p w14:paraId="524FF179"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[6, 10]</w:t>
            </w:r>
          </w:p>
        </w:tc>
      </w:tr>
      <w:tr w:rsidR="00AC5A22" w:rsidRPr="00AC5A22" w14:paraId="0A93945A" w14:textId="77777777" w:rsidTr="00DB3050">
        <w:tc>
          <w:tcPr>
            <w:tcW w:w="2300" w:type="dxa"/>
            <w:shd w:val="clear" w:color="auto" w:fill="E9EFF4"/>
            <w:tcMar>
              <w:top w:w="80" w:type="dxa"/>
              <w:left w:w="110" w:type="dxa"/>
              <w:bottom w:w="80" w:type="dxa"/>
              <w:right w:w="110" w:type="dxa"/>
            </w:tcMar>
          </w:tcPr>
          <w:p w14:paraId="0673685A"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Progressive Energy</w:t>
            </w:r>
          </w:p>
        </w:tc>
        <w:tc>
          <w:tcPr>
            <w:tcW w:w="6300" w:type="dxa"/>
            <w:shd w:val="clear" w:color="auto" w:fill="E9EFF4"/>
            <w:tcMar>
              <w:top w:w="80" w:type="dxa"/>
              <w:left w:w="110" w:type="dxa"/>
              <w:bottom w:w="80" w:type="dxa"/>
              <w:right w:w="110" w:type="dxa"/>
            </w:tcMar>
          </w:tcPr>
          <w:p w14:paraId="1476E717"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low-carbon energy project developer leading development of Peak Cluster on behalf of the partners.</w:t>
            </w:r>
          </w:p>
        </w:tc>
        <w:tc>
          <w:tcPr>
            <w:tcW w:w="700" w:type="dxa"/>
            <w:shd w:val="clear" w:color="auto" w:fill="E9EFF4"/>
            <w:tcMar>
              <w:top w:w="80" w:type="dxa"/>
              <w:left w:w="110" w:type="dxa"/>
              <w:bottom w:w="80" w:type="dxa"/>
              <w:right w:w="110" w:type="dxa"/>
            </w:tcMar>
          </w:tcPr>
          <w:p w14:paraId="308C1F25"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[1]</w:t>
            </w:r>
          </w:p>
        </w:tc>
      </w:tr>
      <w:tr w:rsidR="00AC5A22" w:rsidRPr="00AC5A22" w14:paraId="3575E154" w14:textId="77777777" w:rsidTr="00DB3050">
        <w:tc>
          <w:tcPr>
            <w:tcW w:w="2300" w:type="dxa"/>
            <w:tcMar>
              <w:top w:w="80" w:type="dxa"/>
              <w:left w:w="110" w:type="dxa"/>
              <w:bottom w:w="80" w:type="dxa"/>
              <w:right w:w="110" w:type="dxa"/>
            </w:tcMar>
          </w:tcPr>
          <w:p w14:paraId="5AAF063A"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ROMP (Review of Old Mineral Permissions)</w:t>
            </w:r>
          </w:p>
        </w:tc>
        <w:tc>
          <w:tcPr>
            <w:tcW w:w="6300" w:type="dxa"/>
            <w:tcMar>
              <w:top w:w="80" w:type="dxa"/>
              <w:left w:w="110" w:type="dxa"/>
              <w:bottom w:w="80" w:type="dxa"/>
              <w:right w:w="110" w:type="dxa"/>
            </w:tcMar>
          </w:tcPr>
          <w:p w14:paraId="078ECE7E"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A statutory review (under the Environment Act 1995) of the planning conditions attached to older quarry permissions, carried out periodically. ROMP documents are a key public source for quarry end-dates and reserves.</w:t>
            </w:r>
          </w:p>
        </w:tc>
        <w:tc>
          <w:tcPr>
            <w:tcW w:w="700" w:type="dxa"/>
            <w:tcMar>
              <w:top w:w="80" w:type="dxa"/>
              <w:left w:w="110" w:type="dxa"/>
              <w:bottom w:w="80" w:type="dxa"/>
              <w:right w:w="110" w:type="dxa"/>
            </w:tcMar>
          </w:tcPr>
          <w:p w14:paraId="0C946F13"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[8]</w:t>
            </w:r>
          </w:p>
        </w:tc>
      </w:tr>
      <w:tr w:rsidR="00AC5A22" w:rsidRPr="00AC5A22" w14:paraId="1365937C" w14:textId="77777777" w:rsidTr="00DB3050">
        <w:tc>
          <w:tcPr>
            <w:tcW w:w="2300" w:type="dxa"/>
            <w:shd w:val="clear" w:color="auto" w:fill="E9EFF4"/>
            <w:tcMar>
              <w:top w:w="80" w:type="dxa"/>
              <w:left w:w="110" w:type="dxa"/>
              <w:bottom w:w="80" w:type="dxa"/>
              <w:right w:w="110" w:type="dxa"/>
            </w:tcMar>
          </w:tcPr>
          <w:p w14:paraId="06521A8D"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lastRenderedPageBreak/>
              <w:t>Spirit Energy</w:t>
            </w:r>
          </w:p>
        </w:tc>
        <w:tc>
          <w:tcPr>
            <w:tcW w:w="6300" w:type="dxa"/>
            <w:shd w:val="clear" w:color="auto" w:fill="E9EFF4"/>
            <w:tcMar>
              <w:top w:w="80" w:type="dxa"/>
              <w:left w:w="110" w:type="dxa"/>
              <w:bottom w:w="80" w:type="dxa"/>
              <w:right w:w="110" w:type="dxa"/>
            </w:tcMar>
          </w:tcPr>
          <w:p w14:paraId="16D14E32"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UK energy company that would operate the Morecambe Net Zero CO₂ store that Peak Cluster's pipeline feeds.</w:t>
            </w:r>
          </w:p>
        </w:tc>
        <w:tc>
          <w:tcPr>
            <w:tcW w:w="700" w:type="dxa"/>
            <w:shd w:val="clear" w:color="auto" w:fill="E9EFF4"/>
            <w:tcMar>
              <w:top w:w="80" w:type="dxa"/>
              <w:left w:w="110" w:type="dxa"/>
              <w:bottom w:w="80" w:type="dxa"/>
              <w:right w:w="110" w:type="dxa"/>
            </w:tcMar>
          </w:tcPr>
          <w:p w14:paraId="76B185C3"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[2, 11]</w:t>
            </w:r>
          </w:p>
        </w:tc>
      </w:tr>
      <w:tr w:rsidR="00AC5A22" w:rsidRPr="00AC5A22" w14:paraId="661ABF5F" w14:textId="77777777" w:rsidTr="00DB3050">
        <w:tc>
          <w:tcPr>
            <w:tcW w:w="2300" w:type="dxa"/>
            <w:tcMar>
              <w:top w:w="80" w:type="dxa"/>
              <w:left w:w="110" w:type="dxa"/>
              <w:bottom w:w="80" w:type="dxa"/>
              <w:right w:w="110" w:type="dxa"/>
            </w:tcMar>
          </w:tcPr>
          <w:p w14:paraId="3AD7C973"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Vent stack</w:t>
            </w:r>
          </w:p>
        </w:tc>
        <w:tc>
          <w:tcPr>
            <w:tcW w:w="6300" w:type="dxa"/>
            <w:tcMar>
              <w:top w:w="80" w:type="dxa"/>
              <w:left w:w="110" w:type="dxa"/>
              <w:bottom w:w="80" w:type="dxa"/>
              <w:right w:w="110" w:type="dxa"/>
            </w:tcMar>
          </w:tcPr>
          <w:p w14:paraId="03580C9C"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A chimney-like structure used to release gas in controlled circumstances (e.g. maintenance or emergency </w:t>
            </w:r>
            <w:proofErr w:type="spellStart"/>
            <w:r w:rsidRPr="00AC5A22">
              <w:rPr>
                <w:rFonts w:ascii="Aptos" w:hAnsi="Aptos"/>
                <w:color w:val="000000" w:themeColor="text1"/>
                <w:sz w:val="24"/>
                <w:szCs w:val="24"/>
              </w:rPr>
              <w:t>depressurisation</w:t>
            </w:r>
            <w:proofErr w:type="spellEnd"/>
            <w:r w:rsidRPr="00AC5A22">
              <w:rPr>
                <w:rFonts w:ascii="Aptos" w:hAnsi="Aptos"/>
                <w:color w:val="000000" w:themeColor="text1"/>
                <w:sz w:val="24"/>
                <w:szCs w:val="24"/>
              </w:rPr>
              <w:t>). Peak Cluster states the Coastal AGI would include a chimney or vent stack; campaign analysis of the consultation factsheet reports a stack of up to 50 m in height may be required, with most other structures up to 15 m high.</w:t>
            </w:r>
          </w:p>
        </w:tc>
        <w:tc>
          <w:tcPr>
            <w:tcW w:w="700" w:type="dxa"/>
            <w:tcMar>
              <w:top w:w="80" w:type="dxa"/>
              <w:left w:w="110" w:type="dxa"/>
              <w:bottom w:w="80" w:type="dxa"/>
              <w:right w:w="110" w:type="dxa"/>
            </w:tcMar>
          </w:tcPr>
          <w:p w14:paraId="63E86941"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[1, 12]</w:t>
            </w:r>
          </w:p>
        </w:tc>
      </w:tr>
    </w:tbl>
    <w:p w14:paraId="2B2C9AC5" w14:textId="77777777" w:rsidR="00AC5A22" w:rsidRPr="00AC5A22" w:rsidRDefault="00AC5A22" w:rsidP="00AC5A22">
      <w:pPr>
        <w:rPr>
          <w:rFonts w:ascii="Aptos" w:hAnsi="Aptos"/>
          <w:color w:val="000000" w:themeColor="text1"/>
          <w:sz w:val="24"/>
          <w:szCs w:val="24"/>
        </w:rPr>
      </w:pPr>
      <w:r w:rsidRPr="00AC5A22">
        <w:rPr>
          <w:rFonts w:ascii="Aptos" w:hAnsi="Aptos"/>
          <w:color w:val="000000" w:themeColor="text1"/>
          <w:sz w:val="24"/>
          <w:szCs w:val="24"/>
        </w:rPr>
        <w:br w:type="page"/>
      </w:r>
    </w:p>
    <w:p w14:paraId="79E2BFDC" w14:textId="77777777" w:rsidR="00AC5A22" w:rsidRDefault="00AC5A22" w:rsidP="00AC5A22">
      <w:pPr>
        <w:pStyle w:val="Heading1"/>
        <w:rPr>
          <w:rFonts w:ascii="Aptos" w:hAnsi="Aptos"/>
          <w:color w:val="000000" w:themeColor="text1"/>
          <w:sz w:val="24"/>
          <w:szCs w:val="24"/>
        </w:rPr>
      </w:pPr>
    </w:p>
    <w:p w14:paraId="693A49B0" w14:textId="4B14D957" w:rsidR="00AC5A22" w:rsidRPr="00AC5A22" w:rsidRDefault="00AC5A22" w:rsidP="00AC5A22">
      <w:pPr>
        <w:pStyle w:val="Heading1"/>
        <w:rPr>
          <w:rFonts w:ascii="Aptos" w:hAnsi="Aptos"/>
          <w:color w:val="000000" w:themeColor="text1"/>
          <w:sz w:val="24"/>
          <w:szCs w:val="24"/>
          <w:u w:val="single"/>
        </w:rPr>
      </w:pPr>
      <w:r w:rsidRPr="00AC5A22">
        <w:rPr>
          <w:rFonts w:ascii="Aptos" w:hAnsi="Aptos"/>
          <w:color w:val="000000" w:themeColor="text1"/>
          <w:sz w:val="24"/>
          <w:szCs w:val="24"/>
          <w:u w:val="single"/>
        </w:rPr>
        <w:t>The plants: who is involved, what they produce, and how long the limestone lasts</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300"/>
        <w:gridCol w:w="2300"/>
        <w:gridCol w:w="4200"/>
      </w:tblGrid>
      <w:tr w:rsidR="00AC5A22" w:rsidRPr="00AC5A22" w14:paraId="37ACC6EC" w14:textId="77777777" w:rsidTr="00DB3050">
        <w:trPr>
          <w:tblHeader/>
        </w:trPr>
        <w:tc>
          <w:tcPr>
            <w:tcW w:w="1500" w:type="dxa"/>
            <w:shd w:val="clear" w:color="auto" w:fill="1F3A5F"/>
            <w:tcMar>
              <w:top w:w="80" w:type="dxa"/>
              <w:left w:w="110" w:type="dxa"/>
              <w:bottom w:w="80" w:type="dxa"/>
              <w:right w:w="110" w:type="dxa"/>
            </w:tcMar>
          </w:tcPr>
          <w:p w14:paraId="7C29C1C5" w14:textId="77777777" w:rsidR="00AC5A22" w:rsidRPr="00AC5A22" w:rsidRDefault="00AC5A22" w:rsidP="00DB3050">
            <w:pPr>
              <w:spacing w:after="40"/>
              <w:rPr>
                <w:rFonts w:ascii="Aptos" w:hAnsi="Aptos"/>
                <w:color w:val="FFFF00"/>
                <w:sz w:val="24"/>
                <w:szCs w:val="24"/>
              </w:rPr>
            </w:pPr>
            <w:r w:rsidRPr="00AC5A22">
              <w:rPr>
                <w:rFonts w:ascii="Aptos" w:hAnsi="Aptos"/>
                <w:b/>
                <w:bCs/>
                <w:color w:val="FFFF00"/>
                <w:sz w:val="24"/>
                <w:szCs w:val="24"/>
              </w:rPr>
              <w:t>Plant</w:t>
            </w:r>
          </w:p>
        </w:tc>
        <w:tc>
          <w:tcPr>
            <w:tcW w:w="1300" w:type="dxa"/>
            <w:shd w:val="clear" w:color="auto" w:fill="1F3A5F"/>
            <w:tcMar>
              <w:top w:w="80" w:type="dxa"/>
              <w:left w:w="110" w:type="dxa"/>
              <w:bottom w:w="80" w:type="dxa"/>
              <w:right w:w="110" w:type="dxa"/>
            </w:tcMar>
          </w:tcPr>
          <w:p w14:paraId="68FBA4CA" w14:textId="77777777" w:rsidR="00AC5A22" w:rsidRPr="00AC5A22" w:rsidRDefault="00AC5A22" w:rsidP="00DB3050">
            <w:pPr>
              <w:spacing w:after="40"/>
              <w:rPr>
                <w:rFonts w:ascii="Aptos" w:hAnsi="Aptos"/>
                <w:color w:val="FFFF00"/>
                <w:sz w:val="24"/>
                <w:szCs w:val="24"/>
              </w:rPr>
            </w:pPr>
            <w:r w:rsidRPr="00AC5A22">
              <w:rPr>
                <w:rFonts w:ascii="Aptos" w:hAnsi="Aptos"/>
                <w:b/>
                <w:bCs/>
                <w:color w:val="FFFF00"/>
                <w:sz w:val="24"/>
                <w:szCs w:val="24"/>
              </w:rPr>
              <w:t>Operator</w:t>
            </w:r>
          </w:p>
        </w:tc>
        <w:tc>
          <w:tcPr>
            <w:tcW w:w="2300" w:type="dxa"/>
            <w:shd w:val="clear" w:color="auto" w:fill="1F3A5F"/>
            <w:tcMar>
              <w:top w:w="80" w:type="dxa"/>
              <w:left w:w="110" w:type="dxa"/>
              <w:bottom w:w="80" w:type="dxa"/>
              <w:right w:w="110" w:type="dxa"/>
            </w:tcMar>
          </w:tcPr>
          <w:p w14:paraId="18EDCDC0" w14:textId="77777777" w:rsidR="00AC5A22" w:rsidRPr="00AC5A22" w:rsidRDefault="00AC5A22" w:rsidP="00DB3050">
            <w:pPr>
              <w:spacing w:after="40"/>
              <w:rPr>
                <w:rFonts w:ascii="Aptos" w:hAnsi="Aptos"/>
                <w:color w:val="FFFF00"/>
                <w:sz w:val="24"/>
                <w:szCs w:val="24"/>
              </w:rPr>
            </w:pPr>
            <w:r w:rsidRPr="00AC5A22">
              <w:rPr>
                <w:rFonts w:ascii="Aptos" w:hAnsi="Aptos"/>
                <w:b/>
                <w:bCs/>
                <w:color w:val="FFFF00"/>
                <w:sz w:val="24"/>
                <w:szCs w:val="24"/>
              </w:rPr>
              <w:t>Location</w:t>
            </w:r>
          </w:p>
        </w:tc>
        <w:tc>
          <w:tcPr>
            <w:tcW w:w="4200" w:type="dxa"/>
            <w:shd w:val="clear" w:color="auto" w:fill="1F3A5F"/>
            <w:tcMar>
              <w:top w:w="80" w:type="dxa"/>
              <w:left w:w="110" w:type="dxa"/>
              <w:bottom w:w="80" w:type="dxa"/>
              <w:right w:w="110" w:type="dxa"/>
            </w:tcMar>
          </w:tcPr>
          <w:p w14:paraId="75FAF598" w14:textId="77777777" w:rsidR="00AC5A22" w:rsidRPr="00AC5A22" w:rsidRDefault="00AC5A22" w:rsidP="00DB3050">
            <w:pPr>
              <w:spacing w:after="40"/>
              <w:rPr>
                <w:rFonts w:ascii="Aptos" w:hAnsi="Aptos"/>
                <w:color w:val="FFFF00"/>
                <w:sz w:val="24"/>
                <w:szCs w:val="24"/>
              </w:rPr>
            </w:pPr>
            <w:r w:rsidRPr="00AC5A22">
              <w:rPr>
                <w:rFonts w:ascii="Aptos" w:hAnsi="Aptos"/>
                <w:b/>
                <w:bCs/>
                <w:color w:val="FFFF00"/>
                <w:sz w:val="24"/>
                <w:szCs w:val="24"/>
              </w:rPr>
              <w:t>What it produces · permissions, reserves &amp; closure information (publicly reported)</w:t>
            </w:r>
          </w:p>
        </w:tc>
      </w:tr>
      <w:tr w:rsidR="00AC5A22" w:rsidRPr="00AC5A22" w14:paraId="4F8C6E3B" w14:textId="77777777" w:rsidTr="00DB3050">
        <w:tc>
          <w:tcPr>
            <w:tcW w:w="1500" w:type="dxa"/>
            <w:tcMar>
              <w:top w:w="80" w:type="dxa"/>
              <w:left w:w="110" w:type="dxa"/>
              <w:bottom w:w="80" w:type="dxa"/>
              <w:right w:w="110" w:type="dxa"/>
            </w:tcMar>
          </w:tcPr>
          <w:p w14:paraId="7A582B90"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Tunstead cement plant</w:t>
            </w:r>
          </w:p>
        </w:tc>
        <w:tc>
          <w:tcPr>
            <w:tcW w:w="1300" w:type="dxa"/>
            <w:tcMar>
              <w:top w:w="80" w:type="dxa"/>
              <w:left w:w="110" w:type="dxa"/>
              <w:bottom w:w="80" w:type="dxa"/>
              <w:right w:w="110" w:type="dxa"/>
            </w:tcMar>
          </w:tcPr>
          <w:p w14:paraId="238C3FBB"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Tarmac</w:t>
            </w:r>
          </w:p>
        </w:tc>
        <w:tc>
          <w:tcPr>
            <w:tcW w:w="2300" w:type="dxa"/>
            <w:tcMar>
              <w:top w:w="80" w:type="dxa"/>
              <w:left w:w="110" w:type="dxa"/>
              <w:bottom w:w="80" w:type="dxa"/>
              <w:right w:w="110" w:type="dxa"/>
            </w:tcMar>
          </w:tcPr>
          <w:p w14:paraId="5675AB8B"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Tunstead, near Buxton, Derbyshire (Great Rocks Dale)</w:t>
            </w:r>
          </w:p>
        </w:tc>
        <w:tc>
          <w:tcPr>
            <w:tcW w:w="4200" w:type="dxa"/>
            <w:tcMar>
              <w:top w:w="80" w:type="dxa"/>
              <w:left w:w="110" w:type="dxa"/>
              <w:bottom w:w="80" w:type="dxa"/>
              <w:right w:w="110" w:type="dxa"/>
            </w:tcMar>
          </w:tcPr>
          <w:p w14:paraId="7B42DFB0"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Produces cement, construction aggregates and industrial limestone powders; one of the largest cement facilities in Europe, fed by the UK's largest limestone quarry (c. 5–6 million </w:t>
            </w:r>
            <w:proofErr w:type="spellStart"/>
            <w:r w:rsidRPr="00AC5A22">
              <w:rPr>
                <w:rFonts w:ascii="Aptos" w:hAnsi="Aptos"/>
                <w:color w:val="000000" w:themeColor="text1"/>
                <w:sz w:val="24"/>
                <w:szCs w:val="24"/>
              </w:rPr>
              <w:t>tonnes</w:t>
            </w:r>
            <w:proofErr w:type="spellEnd"/>
            <w:r w:rsidRPr="00AC5A22">
              <w:rPr>
                <w:rFonts w:ascii="Aptos" w:hAnsi="Aptos"/>
                <w:color w:val="000000" w:themeColor="text1"/>
                <w:sz w:val="24"/>
                <w:szCs w:val="24"/>
              </w:rPr>
              <w:t xml:space="preserve"> extracted per year, capped at 10 Mt/yr combined with Old Moor). The operator considers combined reserves sufficient for over 30 years. Planning permissions: Tunstead expires 22 February 2042; Old Moor expires 30 January 2040. [8, 14, 15]</w:t>
            </w:r>
          </w:p>
        </w:tc>
      </w:tr>
      <w:tr w:rsidR="00AC5A22" w:rsidRPr="00AC5A22" w14:paraId="0359B2DC" w14:textId="77777777" w:rsidTr="00DB3050">
        <w:tc>
          <w:tcPr>
            <w:tcW w:w="1500" w:type="dxa"/>
            <w:shd w:val="clear" w:color="auto" w:fill="E9EFF4"/>
            <w:tcMar>
              <w:top w:w="80" w:type="dxa"/>
              <w:left w:w="110" w:type="dxa"/>
              <w:bottom w:w="80" w:type="dxa"/>
              <w:right w:w="110" w:type="dxa"/>
            </w:tcMar>
          </w:tcPr>
          <w:p w14:paraId="596D9AAF"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Tunstead lime works</w:t>
            </w:r>
          </w:p>
        </w:tc>
        <w:tc>
          <w:tcPr>
            <w:tcW w:w="1300" w:type="dxa"/>
            <w:shd w:val="clear" w:color="auto" w:fill="E9EFF4"/>
            <w:tcMar>
              <w:top w:w="80" w:type="dxa"/>
              <w:left w:w="110" w:type="dxa"/>
              <w:bottom w:w="80" w:type="dxa"/>
              <w:right w:w="110" w:type="dxa"/>
            </w:tcMar>
          </w:tcPr>
          <w:p w14:paraId="5CD40FD4"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Buxton Lime (Lhoist group)</w:t>
            </w:r>
          </w:p>
        </w:tc>
        <w:tc>
          <w:tcPr>
            <w:tcW w:w="2300" w:type="dxa"/>
            <w:shd w:val="clear" w:color="auto" w:fill="E9EFF4"/>
            <w:tcMar>
              <w:top w:w="80" w:type="dxa"/>
              <w:left w:w="110" w:type="dxa"/>
              <w:bottom w:w="80" w:type="dxa"/>
              <w:right w:w="110" w:type="dxa"/>
            </w:tcMar>
          </w:tcPr>
          <w:p w14:paraId="4E701334"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Tunstead, near Buxton, Derbyshire</w:t>
            </w:r>
          </w:p>
        </w:tc>
        <w:tc>
          <w:tcPr>
            <w:tcW w:w="4200" w:type="dxa"/>
            <w:shd w:val="clear" w:color="auto" w:fill="E9EFF4"/>
            <w:tcMar>
              <w:top w:w="80" w:type="dxa"/>
              <w:left w:w="110" w:type="dxa"/>
              <w:bottom w:w="80" w:type="dxa"/>
              <w:right w:w="110" w:type="dxa"/>
            </w:tcMar>
          </w:tcPr>
          <w:p w14:paraId="3C9D8DE7"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The lime plant at Tunstead is described as the largest in Britain, producing quicklime (calcium oxide) and lime products for steel, water treatment, chemicals, construction and agriculture. It shares the Tunstead quarry complex and its permission timescales above. [15]</w:t>
            </w:r>
          </w:p>
        </w:tc>
      </w:tr>
      <w:tr w:rsidR="00AC5A22" w:rsidRPr="00AC5A22" w14:paraId="263E61FD" w14:textId="77777777" w:rsidTr="00DB3050">
        <w:tc>
          <w:tcPr>
            <w:tcW w:w="1500" w:type="dxa"/>
            <w:tcMar>
              <w:top w:w="80" w:type="dxa"/>
              <w:left w:w="110" w:type="dxa"/>
              <w:bottom w:w="80" w:type="dxa"/>
              <w:right w:w="110" w:type="dxa"/>
            </w:tcMar>
          </w:tcPr>
          <w:p w14:paraId="232F5088"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lastRenderedPageBreak/>
              <w:t>Hope Cement Works</w:t>
            </w:r>
          </w:p>
        </w:tc>
        <w:tc>
          <w:tcPr>
            <w:tcW w:w="1300" w:type="dxa"/>
            <w:tcMar>
              <w:top w:w="80" w:type="dxa"/>
              <w:left w:w="110" w:type="dxa"/>
              <w:bottom w:w="80" w:type="dxa"/>
              <w:right w:w="110" w:type="dxa"/>
            </w:tcMar>
          </w:tcPr>
          <w:p w14:paraId="69312421"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Breedon</w:t>
            </w:r>
          </w:p>
        </w:tc>
        <w:tc>
          <w:tcPr>
            <w:tcW w:w="2300" w:type="dxa"/>
            <w:tcMar>
              <w:top w:w="80" w:type="dxa"/>
              <w:left w:w="110" w:type="dxa"/>
              <w:bottom w:w="80" w:type="dxa"/>
              <w:right w:w="110" w:type="dxa"/>
            </w:tcMar>
          </w:tcPr>
          <w:p w14:paraId="1D440512"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Hope Valley, Derbyshire (Peak District National Park)</w:t>
            </w:r>
          </w:p>
        </w:tc>
        <w:tc>
          <w:tcPr>
            <w:tcW w:w="4200" w:type="dxa"/>
            <w:tcMar>
              <w:top w:w="80" w:type="dxa"/>
              <w:left w:w="110" w:type="dxa"/>
              <w:bottom w:w="80" w:type="dxa"/>
              <w:right w:w="110" w:type="dxa"/>
            </w:tcMar>
          </w:tcPr>
          <w:p w14:paraId="55833969"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Produces cement (reported emissions of almost 1.2 Mt CO₂ in 2019, the largest local source). The works' permission runs to 22 February 2042, and Breedon's own consultation states that at current extraction rates the limestone quarry may be exhausted by the mid-2030s. Breedon has applied to extract a further 13 million </w:t>
            </w:r>
            <w:proofErr w:type="spellStart"/>
            <w:r w:rsidRPr="00AC5A22">
              <w:rPr>
                <w:rFonts w:ascii="Aptos" w:hAnsi="Aptos"/>
                <w:color w:val="000000" w:themeColor="text1"/>
                <w:sz w:val="24"/>
                <w:szCs w:val="24"/>
              </w:rPr>
              <w:t>tonnes</w:t>
            </w:r>
            <w:proofErr w:type="spellEnd"/>
            <w:r w:rsidRPr="00AC5A22">
              <w:rPr>
                <w:rFonts w:ascii="Aptos" w:hAnsi="Aptos"/>
                <w:color w:val="000000" w:themeColor="text1"/>
                <w:sz w:val="24"/>
                <w:szCs w:val="24"/>
              </w:rPr>
              <w:t xml:space="preserve"> of limestone to extend quarrying by about 7.5 years, to February 2042, protecting 223+ on-site jobs. Breedon has separately consulted on the future of the site after 2042, when quarrying is expected to end; under the 1969 consent, permanent cessation triggers decommissioning and restoration of the works. [16, 17, 18, 19]</w:t>
            </w:r>
          </w:p>
        </w:tc>
      </w:tr>
      <w:tr w:rsidR="00AC5A22" w:rsidRPr="00AC5A22" w14:paraId="4A058C73" w14:textId="77777777" w:rsidTr="00DB3050">
        <w:tc>
          <w:tcPr>
            <w:tcW w:w="1500" w:type="dxa"/>
            <w:shd w:val="clear" w:color="auto" w:fill="E9EFF4"/>
            <w:tcMar>
              <w:top w:w="80" w:type="dxa"/>
              <w:left w:w="110" w:type="dxa"/>
              <w:bottom w:w="80" w:type="dxa"/>
              <w:right w:w="110" w:type="dxa"/>
            </w:tcMar>
          </w:tcPr>
          <w:p w14:paraId="4241EF84"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Cauldon cement plant</w:t>
            </w:r>
          </w:p>
        </w:tc>
        <w:tc>
          <w:tcPr>
            <w:tcW w:w="1300" w:type="dxa"/>
            <w:shd w:val="clear" w:color="auto" w:fill="E9EFF4"/>
            <w:tcMar>
              <w:top w:w="80" w:type="dxa"/>
              <w:left w:w="110" w:type="dxa"/>
              <w:bottom w:w="80" w:type="dxa"/>
              <w:right w:w="110" w:type="dxa"/>
            </w:tcMar>
          </w:tcPr>
          <w:p w14:paraId="768E752A"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Holcim (formerly Aggregate Industries / Lafarge)</w:t>
            </w:r>
          </w:p>
        </w:tc>
        <w:tc>
          <w:tcPr>
            <w:tcW w:w="2300" w:type="dxa"/>
            <w:shd w:val="clear" w:color="auto" w:fill="E9EFF4"/>
            <w:tcMar>
              <w:top w:w="80" w:type="dxa"/>
              <w:left w:w="110" w:type="dxa"/>
              <w:bottom w:w="80" w:type="dxa"/>
              <w:right w:w="110" w:type="dxa"/>
            </w:tcMar>
          </w:tcPr>
          <w:p w14:paraId="5231C0C5"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Cauldon, Staffordshire Moorlands</w:t>
            </w:r>
          </w:p>
        </w:tc>
        <w:tc>
          <w:tcPr>
            <w:tcW w:w="4200" w:type="dxa"/>
            <w:shd w:val="clear" w:color="auto" w:fill="E9EFF4"/>
            <w:tcMar>
              <w:top w:w="80" w:type="dxa"/>
              <w:left w:w="110" w:type="dxa"/>
              <w:bottom w:w="80" w:type="dxa"/>
              <w:right w:w="110" w:type="dxa"/>
            </w:tcMar>
          </w:tcPr>
          <w:p w14:paraId="59BD30CA"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Produces cement from the adjacent Cauldon quarry complex. A planning application (ref. SCC/22/0136/FULL-ES) seeks consolidation of permissions, extensions of the limestone and shale quarries and an extension of time for working remaining reserves; Staffordshire County Council's planning committee </w:t>
            </w:r>
            <w:r w:rsidRPr="00AC5A22">
              <w:rPr>
                <w:rFonts w:ascii="Aptos" w:hAnsi="Aptos"/>
                <w:color w:val="000000" w:themeColor="text1"/>
                <w:sz w:val="24"/>
                <w:szCs w:val="24"/>
              </w:rPr>
              <w:lastRenderedPageBreak/>
              <w:t>was due to consider a report on it at its 2 October 2025 meeting. [20]</w:t>
            </w:r>
          </w:p>
        </w:tc>
      </w:tr>
    </w:tbl>
    <w:p w14:paraId="51E9F42A" w14:textId="77777777" w:rsidR="00AC5A22" w:rsidRPr="00AC5A22" w:rsidRDefault="00AC5A22" w:rsidP="00AC5A22">
      <w:pPr>
        <w:spacing w:after="120"/>
        <w:rPr>
          <w:rFonts w:ascii="Aptos" w:hAnsi="Aptos"/>
          <w:color w:val="000000" w:themeColor="text1"/>
          <w:sz w:val="24"/>
          <w:szCs w:val="24"/>
        </w:rPr>
      </w:pPr>
    </w:p>
    <w:p w14:paraId="1748C7AD" w14:textId="77777777" w:rsidR="00AC5A22" w:rsidRPr="00AC5A22" w:rsidRDefault="00AC5A22" w:rsidP="00AC5A22">
      <w:pPr>
        <w:spacing w:after="160"/>
        <w:rPr>
          <w:rFonts w:ascii="Aptos" w:hAnsi="Aptos"/>
          <w:color w:val="000000" w:themeColor="text1"/>
          <w:sz w:val="24"/>
          <w:szCs w:val="24"/>
        </w:rPr>
      </w:pPr>
      <w:r w:rsidRPr="00AC5A22">
        <w:rPr>
          <w:rFonts w:ascii="Aptos" w:hAnsi="Aptos"/>
          <w:b/>
          <w:bCs/>
          <w:color w:val="000000" w:themeColor="text1"/>
          <w:sz w:val="24"/>
          <w:szCs w:val="24"/>
        </w:rPr>
        <w:t xml:space="preserve">Note on project membership: </w:t>
      </w:r>
      <w:r w:rsidRPr="00AC5A22">
        <w:rPr>
          <w:rFonts w:ascii="Aptos" w:hAnsi="Aptos"/>
          <w:color w:val="000000" w:themeColor="text1"/>
          <w:sz w:val="24"/>
          <w:szCs w:val="24"/>
        </w:rPr>
        <w:t xml:space="preserve">when the scheme was first announced in 2023 it was described as five cement and lime plants (including Lhoist's </w:t>
      </w:r>
      <w:proofErr w:type="spellStart"/>
      <w:r w:rsidRPr="00AC5A22">
        <w:rPr>
          <w:rFonts w:ascii="Aptos" w:hAnsi="Aptos"/>
          <w:color w:val="000000" w:themeColor="text1"/>
          <w:sz w:val="24"/>
          <w:szCs w:val="24"/>
        </w:rPr>
        <w:t>Hindlow</w:t>
      </w:r>
      <w:proofErr w:type="spellEnd"/>
      <w:r w:rsidRPr="00AC5A22">
        <w:rPr>
          <w:rFonts w:ascii="Aptos" w:hAnsi="Aptos"/>
          <w:color w:val="000000" w:themeColor="text1"/>
          <w:sz w:val="24"/>
          <w:szCs w:val="24"/>
        </w:rPr>
        <w:t xml:space="preserve"> lime works) plus the Lostock Sustainable Energy Plant in Northwich. The project's current material describes four plants: Tunstead (cement), Tunstead (lime), Hope and Cauldon.</w:t>
      </w:r>
      <w:r w:rsidRPr="00AC5A22">
        <w:rPr>
          <w:rFonts w:ascii="Aptos" w:hAnsi="Aptos"/>
          <w:color w:val="000000" w:themeColor="text1"/>
          <w:sz w:val="24"/>
          <w:szCs w:val="24"/>
          <w:vertAlign w:val="superscript"/>
        </w:rPr>
        <w:t xml:space="preserve"> [1, 21]</w:t>
      </w:r>
    </w:p>
    <w:p w14:paraId="31DF0A95" w14:textId="5BE9F40B" w:rsidR="00AC5A22" w:rsidRPr="00AC5A22" w:rsidRDefault="00AC5A22" w:rsidP="00AC5A22">
      <w:pPr>
        <w:spacing w:after="160"/>
        <w:rPr>
          <w:rFonts w:ascii="Aptos" w:hAnsi="Aptos"/>
          <w:color w:val="000000" w:themeColor="text1"/>
          <w:sz w:val="24"/>
          <w:szCs w:val="24"/>
        </w:rPr>
      </w:pPr>
      <w:r w:rsidRPr="00AC5A22">
        <w:rPr>
          <w:rFonts w:ascii="Aptos" w:hAnsi="Aptos"/>
          <w:b/>
          <w:bCs/>
          <w:color w:val="000000" w:themeColor="text1"/>
          <w:sz w:val="24"/>
          <w:szCs w:val="24"/>
        </w:rPr>
        <w:t xml:space="preserve">Note on 'closure' dates: </w:t>
      </w:r>
      <w:r w:rsidRPr="00AC5A22">
        <w:rPr>
          <w:rFonts w:ascii="Aptos" w:hAnsi="Aptos"/>
          <w:color w:val="000000" w:themeColor="text1"/>
          <w:sz w:val="24"/>
          <w:szCs w:val="24"/>
        </w:rPr>
        <w:t>no operator has announced a closure. The dates above are the expiry dates of the existing mineral planning permissions and the operators' own published estimates of when reserves could be exhausted, both of which can change through the planning system (as the Hope and Cauldon extension applications show). Quarry permissions across the Peak District planning area commonly expire in 2042, a legacy of permissions granted in February 1982.</w:t>
      </w:r>
      <w:r w:rsidRPr="00AC5A22">
        <w:rPr>
          <w:rFonts w:ascii="Aptos" w:hAnsi="Aptos"/>
          <w:color w:val="000000" w:themeColor="text1"/>
          <w:sz w:val="24"/>
          <w:szCs w:val="24"/>
          <w:vertAlign w:val="superscript"/>
        </w:rPr>
        <w:t xml:space="preserve"> [8, 17, 18, 20, 22]</w:t>
      </w:r>
    </w:p>
    <w:p w14:paraId="54A5BD3C" w14:textId="77777777" w:rsidR="00AC5A22" w:rsidRPr="00AC5A22" w:rsidRDefault="00AC5A22" w:rsidP="00AC5A22">
      <w:pPr>
        <w:rPr>
          <w:rFonts w:ascii="Aptos" w:hAnsi="Aptos"/>
          <w:b/>
          <w:bCs/>
          <w:color w:val="000000" w:themeColor="text1"/>
          <w:sz w:val="24"/>
          <w:szCs w:val="24"/>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700"/>
      </w:tblGrid>
      <w:tr w:rsidR="00AC5A22" w:rsidRPr="00AC5A22" w14:paraId="58C5B8D3" w14:textId="77777777" w:rsidTr="00DB3050">
        <w:trPr>
          <w:tblHeader/>
        </w:trPr>
        <w:tc>
          <w:tcPr>
            <w:tcW w:w="3600" w:type="dxa"/>
            <w:shd w:val="clear" w:color="auto" w:fill="1F3A5F"/>
            <w:tcMar>
              <w:top w:w="80" w:type="dxa"/>
              <w:left w:w="110" w:type="dxa"/>
              <w:bottom w:w="80" w:type="dxa"/>
              <w:right w:w="110" w:type="dxa"/>
            </w:tcMar>
          </w:tcPr>
          <w:p w14:paraId="75598F18" w14:textId="77777777" w:rsidR="00AC5A22" w:rsidRPr="00AC5A22" w:rsidRDefault="00AC5A22" w:rsidP="00DB3050">
            <w:pPr>
              <w:spacing w:after="40"/>
              <w:rPr>
                <w:rFonts w:ascii="Aptos" w:hAnsi="Aptos"/>
                <w:color w:val="FFFF00"/>
                <w:sz w:val="24"/>
                <w:szCs w:val="24"/>
              </w:rPr>
            </w:pPr>
            <w:r w:rsidRPr="00AC5A22">
              <w:rPr>
                <w:rFonts w:ascii="Aptos" w:hAnsi="Aptos"/>
                <w:b/>
                <w:bCs/>
                <w:color w:val="FFFF00"/>
                <w:sz w:val="24"/>
                <w:szCs w:val="24"/>
              </w:rPr>
              <w:t>Item</w:t>
            </w:r>
          </w:p>
        </w:tc>
        <w:tc>
          <w:tcPr>
            <w:tcW w:w="5700" w:type="dxa"/>
            <w:shd w:val="clear" w:color="auto" w:fill="1F3A5F"/>
            <w:tcMar>
              <w:top w:w="80" w:type="dxa"/>
              <w:left w:w="110" w:type="dxa"/>
              <w:bottom w:w="80" w:type="dxa"/>
              <w:right w:w="110" w:type="dxa"/>
            </w:tcMar>
          </w:tcPr>
          <w:p w14:paraId="07D385EE" w14:textId="77777777" w:rsidR="00AC5A22" w:rsidRPr="00AC5A22" w:rsidRDefault="00AC5A22" w:rsidP="00DB3050">
            <w:pPr>
              <w:spacing w:after="40"/>
              <w:rPr>
                <w:rFonts w:ascii="Aptos" w:hAnsi="Aptos"/>
                <w:color w:val="FFFF00"/>
                <w:sz w:val="24"/>
                <w:szCs w:val="24"/>
              </w:rPr>
            </w:pPr>
            <w:r w:rsidRPr="00AC5A22">
              <w:rPr>
                <w:rFonts w:ascii="Aptos" w:hAnsi="Aptos"/>
                <w:b/>
                <w:bCs/>
                <w:color w:val="FFFF00"/>
                <w:sz w:val="24"/>
                <w:szCs w:val="24"/>
              </w:rPr>
              <w:t>Publicly reported figure</w:t>
            </w:r>
          </w:p>
        </w:tc>
      </w:tr>
      <w:tr w:rsidR="00AC5A22" w:rsidRPr="00AC5A22" w14:paraId="25DE810E" w14:textId="77777777" w:rsidTr="00DB3050">
        <w:tc>
          <w:tcPr>
            <w:tcW w:w="3600" w:type="dxa"/>
            <w:tcMar>
              <w:top w:w="80" w:type="dxa"/>
              <w:left w:w="110" w:type="dxa"/>
              <w:bottom w:w="80" w:type="dxa"/>
              <w:right w:w="110" w:type="dxa"/>
            </w:tcMar>
          </w:tcPr>
          <w:p w14:paraId="34506DCA"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Onshore pipeline length</w:t>
            </w:r>
          </w:p>
        </w:tc>
        <w:tc>
          <w:tcPr>
            <w:tcW w:w="5700" w:type="dxa"/>
            <w:tcMar>
              <w:top w:w="80" w:type="dxa"/>
              <w:left w:w="110" w:type="dxa"/>
              <w:bottom w:w="80" w:type="dxa"/>
              <w:right w:w="110" w:type="dxa"/>
            </w:tcMar>
          </w:tcPr>
          <w:p w14:paraId="0C90B0E2"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Reported at approximately 198 km from the Derbyshire/Staffordshire plants to the north of the Wirral (media reports have also described it as '121 miles' / 'more than 100 miles'). [3, 4]</w:t>
            </w:r>
          </w:p>
        </w:tc>
      </w:tr>
      <w:tr w:rsidR="00AC5A22" w:rsidRPr="00AC5A22" w14:paraId="0EA73213" w14:textId="77777777" w:rsidTr="00DB3050">
        <w:tc>
          <w:tcPr>
            <w:tcW w:w="3600" w:type="dxa"/>
            <w:shd w:val="clear" w:color="auto" w:fill="E9EFF4"/>
            <w:tcMar>
              <w:top w:w="80" w:type="dxa"/>
              <w:left w:w="110" w:type="dxa"/>
              <w:bottom w:w="80" w:type="dxa"/>
              <w:right w:w="110" w:type="dxa"/>
            </w:tcMar>
          </w:tcPr>
          <w:p w14:paraId="6409BD57"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Offshore pipeline length</w:t>
            </w:r>
          </w:p>
        </w:tc>
        <w:tc>
          <w:tcPr>
            <w:tcW w:w="5700" w:type="dxa"/>
            <w:shd w:val="clear" w:color="auto" w:fill="E9EFF4"/>
            <w:tcMar>
              <w:top w:w="80" w:type="dxa"/>
              <w:left w:w="110" w:type="dxa"/>
              <w:bottom w:w="80" w:type="dxa"/>
              <w:right w:w="110" w:type="dxa"/>
            </w:tcMar>
          </w:tcPr>
          <w:p w14:paraId="64B1A8D7"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Around 90 km including the section from landfall, per Peak Cluster; route work is ongoing. [1]</w:t>
            </w:r>
          </w:p>
        </w:tc>
      </w:tr>
      <w:tr w:rsidR="00AC5A22" w:rsidRPr="00AC5A22" w14:paraId="0C28AE9F" w14:textId="77777777" w:rsidTr="00DB3050">
        <w:tc>
          <w:tcPr>
            <w:tcW w:w="3600" w:type="dxa"/>
            <w:tcMar>
              <w:top w:w="80" w:type="dxa"/>
              <w:left w:w="110" w:type="dxa"/>
              <w:bottom w:w="80" w:type="dxa"/>
              <w:right w:w="110" w:type="dxa"/>
            </w:tcMar>
          </w:tcPr>
          <w:p w14:paraId="3F38C0F1"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lastRenderedPageBreak/>
              <w:t>Onshore pipe diameter</w:t>
            </w:r>
          </w:p>
        </w:tc>
        <w:tc>
          <w:tcPr>
            <w:tcW w:w="5700" w:type="dxa"/>
            <w:tcMar>
              <w:top w:w="80" w:type="dxa"/>
              <w:left w:w="110" w:type="dxa"/>
              <w:bottom w:w="80" w:type="dxa"/>
              <w:right w:w="110" w:type="dxa"/>
            </w:tcMar>
          </w:tcPr>
          <w:p w14:paraId="7F4EC6AC"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Up to 91.4 cm (36 inches); Peak Cluster has also described an anticipated range of 24–36 inches. [1]</w:t>
            </w:r>
          </w:p>
        </w:tc>
      </w:tr>
      <w:tr w:rsidR="00AC5A22" w:rsidRPr="00AC5A22" w14:paraId="020CE29E" w14:textId="77777777" w:rsidTr="00DB3050">
        <w:tc>
          <w:tcPr>
            <w:tcW w:w="3600" w:type="dxa"/>
            <w:shd w:val="clear" w:color="auto" w:fill="E9EFF4"/>
            <w:tcMar>
              <w:top w:w="80" w:type="dxa"/>
              <w:left w:w="110" w:type="dxa"/>
              <w:bottom w:w="80" w:type="dxa"/>
              <w:right w:w="110" w:type="dxa"/>
            </w:tcMar>
          </w:tcPr>
          <w:p w14:paraId="0FBFC017"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Offshore pipe diameter</w:t>
            </w:r>
          </w:p>
        </w:tc>
        <w:tc>
          <w:tcPr>
            <w:tcW w:w="5700" w:type="dxa"/>
            <w:shd w:val="clear" w:color="auto" w:fill="E9EFF4"/>
            <w:tcMar>
              <w:top w:w="80" w:type="dxa"/>
              <w:left w:w="110" w:type="dxa"/>
              <w:bottom w:w="80" w:type="dxa"/>
              <w:right w:w="110" w:type="dxa"/>
            </w:tcMar>
          </w:tcPr>
          <w:p w14:paraId="4A38D9EB"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Up to two buried offshore pipelines, each up to 1.1 m (42 inches) in diameter, from the Coastal AGI to mean low water springs. [1]</w:t>
            </w:r>
          </w:p>
        </w:tc>
      </w:tr>
      <w:tr w:rsidR="00AC5A22" w:rsidRPr="00AC5A22" w14:paraId="1C7AF7ED" w14:textId="77777777" w:rsidTr="00DB3050">
        <w:tc>
          <w:tcPr>
            <w:tcW w:w="3600" w:type="dxa"/>
            <w:tcMar>
              <w:top w:w="80" w:type="dxa"/>
              <w:left w:w="110" w:type="dxa"/>
              <w:bottom w:w="80" w:type="dxa"/>
              <w:right w:w="110" w:type="dxa"/>
            </w:tcMar>
          </w:tcPr>
          <w:p w14:paraId="435E7D7F"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Burial depth</w:t>
            </w:r>
          </w:p>
        </w:tc>
        <w:tc>
          <w:tcPr>
            <w:tcW w:w="5700" w:type="dxa"/>
            <w:tcMar>
              <w:top w:w="80" w:type="dxa"/>
              <w:left w:w="110" w:type="dxa"/>
              <w:bottom w:w="80" w:type="dxa"/>
              <w:right w:w="110" w:type="dxa"/>
            </w:tcMar>
          </w:tcPr>
          <w:p w14:paraId="1B015086"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Reported as at least four feet (approx. 1.2 m) underground. [4]</w:t>
            </w:r>
          </w:p>
        </w:tc>
      </w:tr>
      <w:tr w:rsidR="00AC5A22" w:rsidRPr="00AC5A22" w14:paraId="5CCF8A5A" w14:textId="77777777" w:rsidTr="00DB3050">
        <w:tc>
          <w:tcPr>
            <w:tcW w:w="3600" w:type="dxa"/>
            <w:shd w:val="clear" w:color="auto" w:fill="E9EFF4"/>
            <w:tcMar>
              <w:top w:w="80" w:type="dxa"/>
              <w:left w:w="110" w:type="dxa"/>
              <w:bottom w:w="80" w:type="dxa"/>
              <w:right w:w="110" w:type="dxa"/>
            </w:tcMar>
          </w:tcPr>
          <w:p w14:paraId="3486115F"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Construction working corridor</w:t>
            </w:r>
          </w:p>
        </w:tc>
        <w:tc>
          <w:tcPr>
            <w:tcW w:w="5700" w:type="dxa"/>
            <w:shd w:val="clear" w:color="auto" w:fill="E9EFF4"/>
            <w:tcMar>
              <w:top w:w="80" w:type="dxa"/>
              <w:left w:w="110" w:type="dxa"/>
              <w:bottom w:w="80" w:type="dxa"/>
              <w:right w:w="110" w:type="dxa"/>
            </w:tcMar>
          </w:tcPr>
          <w:p w14:paraId="16552DED"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Around 30 m wide during construction; the early 'scoping corridor' shown on plans is reported at up to 300 m wide, expected to narrow to around 100 m before final route selection. [3, 4]</w:t>
            </w:r>
          </w:p>
        </w:tc>
      </w:tr>
      <w:tr w:rsidR="00AC5A22" w:rsidRPr="00AC5A22" w14:paraId="4A98E5A4" w14:textId="77777777" w:rsidTr="00DB3050">
        <w:tc>
          <w:tcPr>
            <w:tcW w:w="3600" w:type="dxa"/>
            <w:tcMar>
              <w:top w:w="80" w:type="dxa"/>
              <w:left w:w="110" w:type="dxa"/>
              <w:bottom w:w="80" w:type="dxa"/>
              <w:right w:w="110" w:type="dxa"/>
            </w:tcMar>
          </w:tcPr>
          <w:p w14:paraId="20FB93CF"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Coastal AGI site area</w:t>
            </w:r>
          </w:p>
        </w:tc>
        <w:tc>
          <w:tcPr>
            <w:tcW w:w="5700" w:type="dxa"/>
            <w:tcMar>
              <w:top w:w="80" w:type="dxa"/>
              <w:left w:w="110" w:type="dxa"/>
              <w:bottom w:w="80" w:type="dxa"/>
              <w:right w:w="110" w:type="dxa"/>
            </w:tcMar>
          </w:tcPr>
          <w:p w14:paraId="6E62425D"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Up to around 300 m × 180 m (5.4 ha), excluding access - with a compressor, equipment and a chimney/vent stack; two candidate zones on the north Wirral. [1]</w:t>
            </w:r>
          </w:p>
        </w:tc>
      </w:tr>
      <w:tr w:rsidR="00AC5A22" w:rsidRPr="00AC5A22" w14:paraId="287AB3AC" w14:textId="77777777" w:rsidTr="00DB3050">
        <w:tc>
          <w:tcPr>
            <w:tcW w:w="3600" w:type="dxa"/>
            <w:shd w:val="clear" w:color="auto" w:fill="E9EFF4"/>
            <w:tcMar>
              <w:top w:w="80" w:type="dxa"/>
              <w:left w:w="110" w:type="dxa"/>
              <w:bottom w:w="80" w:type="dxa"/>
              <w:right w:w="110" w:type="dxa"/>
            </w:tcMar>
          </w:tcPr>
          <w:p w14:paraId="66AEA828"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Above Ground Installations</w:t>
            </w:r>
          </w:p>
        </w:tc>
        <w:tc>
          <w:tcPr>
            <w:tcW w:w="5700" w:type="dxa"/>
            <w:shd w:val="clear" w:color="auto" w:fill="E9EFF4"/>
            <w:tcMar>
              <w:top w:w="80" w:type="dxa"/>
              <w:left w:w="110" w:type="dxa"/>
              <w:bottom w:w="80" w:type="dxa"/>
              <w:right w:w="110" w:type="dxa"/>
            </w:tcMar>
          </w:tcPr>
          <w:p w14:paraId="5575EFBB"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Public reporting describes five AGIs along the onshore route; consultation mapping names feeder and connection AGIs (e.g. south of Chapel-</w:t>
            </w:r>
            <w:proofErr w:type="spellStart"/>
            <w:r w:rsidRPr="00AC5A22">
              <w:rPr>
                <w:rFonts w:ascii="Aptos" w:hAnsi="Aptos"/>
                <w:color w:val="000000" w:themeColor="text1"/>
                <w:sz w:val="24"/>
                <w:szCs w:val="24"/>
              </w:rPr>
              <w:t>en</w:t>
            </w:r>
            <w:proofErr w:type="spellEnd"/>
            <w:r w:rsidRPr="00AC5A22">
              <w:rPr>
                <w:rFonts w:ascii="Aptos" w:hAnsi="Aptos"/>
                <w:color w:val="000000" w:themeColor="text1"/>
                <w:sz w:val="24"/>
                <w:szCs w:val="24"/>
              </w:rPr>
              <w:t>-le-Frith, south-west of Macclesfield, north-west of Holmes Chapel), plus the Coastal AGI. [3, 12]</w:t>
            </w:r>
          </w:p>
        </w:tc>
      </w:tr>
      <w:tr w:rsidR="00AC5A22" w:rsidRPr="00AC5A22" w14:paraId="45032BE7" w14:textId="77777777" w:rsidTr="00DB3050">
        <w:tc>
          <w:tcPr>
            <w:tcW w:w="3600" w:type="dxa"/>
            <w:tcMar>
              <w:top w:w="80" w:type="dxa"/>
              <w:left w:w="110" w:type="dxa"/>
              <w:bottom w:w="80" w:type="dxa"/>
              <w:right w:w="110" w:type="dxa"/>
            </w:tcMar>
          </w:tcPr>
          <w:p w14:paraId="064BA60E"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CO₂ captured</w:t>
            </w:r>
          </w:p>
        </w:tc>
        <w:tc>
          <w:tcPr>
            <w:tcW w:w="5700" w:type="dxa"/>
            <w:tcMar>
              <w:top w:w="80" w:type="dxa"/>
              <w:left w:w="110" w:type="dxa"/>
              <w:bottom w:w="80" w:type="dxa"/>
              <w:right w:w="110" w:type="dxa"/>
            </w:tcMar>
          </w:tcPr>
          <w:p w14:paraId="1F2E0F06"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Over 3 million </w:t>
            </w:r>
            <w:proofErr w:type="spellStart"/>
            <w:r w:rsidRPr="00AC5A22">
              <w:rPr>
                <w:rFonts w:ascii="Aptos" w:hAnsi="Aptos"/>
                <w:color w:val="000000" w:themeColor="text1"/>
                <w:sz w:val="24"/>
                <w:szCs w:val="24"/>
              </w:rPr>
              <w:t>tonnes</w:t>
            </w:r>
            <w:proofErr w:type="spellEnd"/>
            <w:r w:rsidRPr="00AC5A22">
              <w:rPr>
                <w:rFonts w:ascii="Aptos" w:hAnsi="Aptos"/>
                <w:color w:val="000000" w:themeColor="text1"/>
                <w:sz w:val="24"/>
                <w:szCs w:val="24"/>
              </w:rPr>
              <w:t xml:space="preserve"> per year once operational - stated by the project to be almost a quarter of Staffordshire and Derbyshire's annual emissions. [1]</w:t>
            </w:r>
          </w:p>
        </w:tc>
      </w:tr>
      <w:tr w:rsidR="00AC5A22" w:rsidRPr="00AC5A22" w14:paraId="3EE65F6F" w14:textId="77777777" w:rsidTr="00DB3050">
        <w:tc>
          <w:tcPr>
            <w:tcW w:w="3600" w:type="dxa"/>
            <w:shd w:val="clear" w:color="auto" w:fill="E9EFF4"/>
            <w:tcMar>
              <w:top w:w="80" w:type="dxa"/>
              <w:left w:w="110" w:type="dxa"/>
              <w:bottom w:w="80" w:type="dxa"/>
              <w:right w:w="110" w:type="dxa"/>
            </w:tcMar>
          </w:tcPr>
          <w:p w14:paraId="25B804C7"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Investment</w:t>
            </w:r>
          </w:p>
        </w:tc>
        <w:tc>
          <w:tcPr>
            <w:tcW w:w="5700" w:type="dxa"/>
            <w:shd w:val="clear" w:color="auto" w:fill="E9EFF4"/>
            <w:tcMar>
              <w:top w:w="80" w:type="dxa"/>
              <w:left w:w="110" w:type="dxa"/>
              <w:bottom w:w="80" w:type="dxa"/>
              <w:right w:w="110" w:type="dxa"/>
            </w:tcMar>
          </w:tcPr>
          <w:p w14:paraId="1F9C0130"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£28.6 m from the National Wealth Fund, stated to have unlocked £31 m from private partners; MNZ and </w:t>
            </w:r>
            <w:r w:rsidRPr="00AC5A22">
              <w:rPr>
                <w:rFonts w:ascii="Aptos" w:hAnsi="Aptos"/>
                <w:color w:val="000000" w:themeColor="text1"/>
                <w:sz w:val="24"/>
                <w:szCs w:val="24"/>
              </w:rPr>
              <w:lastRenderedPageBreak/>
              <w:t>Peak Cluster together are stated to represent £5 bn of capital investment. [11]</w:t>
            </w:r>
          </w:p>
        </w:tc>
      </w:tr>
      <w:tr w:rsidR="00AC5A22" w:rsidRPr="00AC5A22" w14:paraId="537CC50F" w14:textId="77777777" w:rsidTr="00DB3050">
        <w:tc>
          <w:tcPr>
            <w:tcW w:w="3600" w:type="dxa"/>
            <w:tcMar>
              <w:top w:w="80" w:type="dxa"/>
              <w:left w:w="110" w:type="dxa"/>
              <w:bottom w:w="80" w:type="dxa"/>
              <w:right w:w="110" w:type="dxa"/>
            </w:tcMar>
          </w:tcPr>
          <w:p w14:paraId="26E80CBA"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lastRenderedPageBreak/>
              <w:t>Jobs</w:t>
            </w:r>
          </w:p>
        </w:tc>
        <w:tc>
          <w:tcPr>
            <w:tcW w:w="5700" w:type="dxa"/>
            <w:tcMar>
              <w:top w:w="80" w:type="dxa"/>
              <w:left w:w="110" w:type="dxa"/>
              <w:bottom w:w="80" w:type="dxa"/>
              <w:right w:w="110" w:type="dxa"/>
            </w:tcMar>
          </w:tcPr>
          <w:p w14:paraId="2F3D0886"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 xml:space="preserve">The project states it will safeguard and create more than 13,000 jobs (with MNZ) by 2050, with c. 1,500 construction jobs across the East Midlands and </w:t>
            </w:r>
            <w:proofErr w:type="gramStart"/>
            <w:r w:rsidRPr="00AC5A22">
              <w:rPr>
                <w:rFonts w:ascii="Aptos" w:hAnsi="Aptos"/>
                <w:color w:val="000000" w:themeColor="text1"/>
                <w:sz w:val="24"/>
                <w:szCs w:val="24"/>
              </w:rPr>
              <w:t>North West</w:t>
            </w:r>
            <w:proofErr w:type="gramEnd"/>
            <w:r w:rsidRPr="00AC5A22">
              <w:rPr>
                <w:rFonts w:ascii="Aptos" w:hAnsi="Aptos"/>
                <w:color w:val="000000" w:themeColor="text1"/>
                <w:sz w:val="24"/>
                <w:szCs w:val="24"/>
              </w:rPr>
              <w:t>. [1, 13]</w:t>
            </w:r>
          </w:p>
        </w:tc>
      </w:tr>
      <w:tr w:rsidR="00AC5A22" w:rsidRPr="00AC5A22" w14:paraId="0A5F54F5" w14:textId="77777777" w:rsidTr="00DB3050">
        <w:tc>
          <w:tcPr>
            <w:tcW w:w="3600" w:type="dxa"/>
            <w:shd w:val="clear" w:color="auto" w:fill="E9EFF4"/>
            <w:tcMar>
              <w:top w:w="80" w:type="dxa"/>
              <w:left w:w="110" w:type="dxa"/>
              <w:bottom w:w="80" w:type="dxa"/>
              <w:right w:w="110" w:type="dxa"/>
            </w:tcMar>
          </w:tcPr>
          <w:p w14:paraId="74A0BC1E" w14:textId="77777777" w:rsidR="00AC5A22" w:rsidRPr="00AC5A22" w:rsidRDefault="00AC5A22" w:rsidP="00DB3050">
            <w:pPr>
              <w:spacing w:after="40"/>
              <w:rPr>
                <w:rFonts w:ascii="Aptos" w:hAnsi="Aptos"/>
                <w:color w:val="000000" w:themeColor="text1"/>
                <w:sz w:val="24"/>
                <w:szCs w:val="24"/>
              </w:rPr>
            </w:pPr>
            <w:r w:rsidRPr="00AC5A22">
              <w:rPr>
                <w:rFonts w:ascii="Aptos" w:hAnsi="Aptos"/>
                <w:b/>
                <w:bCs/>
                <w:color w:val="000000" w:themeColor="text1"/>
                <w:sz w:val="24"/>
                <w:szCs w:val="24"/>
              </w:rPr>
              <w:t>Timeline</w:t>
            </w:r>
          </w:p>
        </w:tc>
        <w:tc>
          <w:tcPr>
            <w:tcW w:w="5700" w:type="dxa"/>
            <w:shd w:val="clear" w:color="auto" w:fill="E9EFF4"/>
            <w:tcMar>
              <w:top w:w="80" w:type="dxa"/>
              <w:left w:w="110" w:type="dxa"/>
              <w:bottom w:w="80" w:type="dxa"/>
              <w:right w:w="110" w:type="dxa"/>
            </w:tcMar>
          </w:tcPr>
          <w:p w14:paraId="555DCBC6" w14:textId="77777777" w:rsidR="00AC5A22" w:rsidRPr="00AC5A22" w:rsidRDefault="00AC5A22" w:rsidP="00DB3050">
            <w:pPr>
              <w:spacing w:after="40"/>
              <w:rPr>
                <w:rFonts w:ascii="Aptos" w:hAnsi="Aptos"/>
                <w:color w:val="000000" w:themeColor="text1"/>
                <w:sz w:val="24"/>
                <w:szCs w:val="24"/>
              </w:rPr>
            </w:pPr>
            <w:r w:rsidRPr="00AC5A22">
              <w:rPr>
                <w:rFonts w:ascii="Aptos" w:hAnsi="Aptos"/>
                <w:color w:val="000000" w:themeColor="text1"/>
                <w:sz w:val="24"/>
                <w:szCs w:val="24"/>
              </w:rPr>
              <w:t>Pre-application stage now; DCO application expected September 2027 (Planning Inspectorate); the project has publicly targeted being operational around 2030 / 'from the next decade'. [6, 11, 21]</w:t>
            </w:r>
          </w:p>
        </w:tc>
      </w:tr>
    </w:tbl>
    <w:p w14:paraId="064AEF4F" w14:textId="77777777" w:rsidR="00AC5A22" w:rsidRPr="00AC5A22" w:rsidRDefault="00AC5A22" w:rsidP="00AC5A22">
      <w:pPr>
        <w:rPr>
          <w:rFonts w:ascii="Aptos" w:hAnsi="Aptos"/>
          <w:color w:val="000000" w:themeColor="text1"/>
          <w:sz w:val="24"/>
          <w:szCs w:val="24"/>
        </w:rPr>
      </w:pPr>
      <w:r w:rsidRPr="00AC5A22">
        <w:rPr>
          <w:rFonts w:ascii="Aptos" w:hAnsi="Aptos"/>
          <w:color w:val="000000" w:themeColor="text1"/>
          <w:sz w:val="24"/>
          <w:szCs w:val="24"/>
        </w:rPr>
        <w:br w:type="page"/>
      </w:r>
    </w:p>
    <w:p w14:paraId="03CB54F0" w14:textId="77777777" w:rsidR="00AC5A22" w:rsidRPr="00AC5A22" w:rsidRDefault="00AC5A22" w:rsidP="00AC5A22">
      <w:pPr>
        <w:pStyle w:val="Heading1"/>
        <w:rPr>
          <w:rFonts w:ascii="Aptos" w:hAnsi="Aptos"/>
          <w:color w:val="000000" w:themeColor="text1"/>
          <w:sz w:val="24"/>
          <w:szCs w:val="24"/>
        </w:rPr>
      </w:pPr>
      <w:r w:rsidRPr="00AC5A22">
        <w:rPr>
          <w:rFonts w:ascii="Aptos" w:hAnsi="Aptos"/>
          <w:color w:val="000000" w:themeColor="text1"/>
          <w:sz w:val="24"/>
          <w:szCs w:val="24"/>
        </w:rPr>
        <w:lastRenderedPageBreak/>
        <w:t>Visual guide to scale</w:t>
      </w:r>
    </w:p>
    <w:p w14:paraId="2A86273F" w14:textId="77777777" w:rsidR="00AC5A22" w:rsidRPr="00AC5A22" w:rsidRDefault="00AC5A22" w:rsidP="00AC5A22">
      <w:pPr>
        <w:spacing w:before="120" w:after="220"/>
        <w:jc w:val="center"/>
        <w:rPr>
          <w:rFonts w:ascii="Aptos" w:hAnsi="Aptos"/>
          <w:color w:val="000000" w:themeColor="text1"/>
          <w:sz w:val="24"/>
          <w:szCs w:val="24"/>
        </w:rPr>
      </w:pPr>
    </w:p>
    <w:p w14:paraId="779C6E3B" w14:textId="77777777" w:rsidR="00AC5A22" w:rsidRPr="00AC5A22" w:rsidRDefault="00AC5A22" w:rsidP="00AC5A22">
      <w:pPr>
        <w:spacing w:before="120" w:after="220"/>
        <w:jc w:val="center"/>
        <w:rPr>
          <w:rFonts w:ascii="Aptos" w:hAnsi="Aptos"/>
          <w:color w:val="000000" w:themeColor="text1"/>
          <w:sz w:val="24"/>
          <w:szCs w:val="24"/>
        </w:rPr>
      </w:pPr>
      <w:r w:rsidRPr="00AC5A22">
        <w:rPr>
          <w:rFonts w:ascii="Aptos" w:hAnsi="Aptos"/>
          <w:noProof/>
          <w:color w:val="000000" w:themeColor="text1"/>
          <w:sz w:val="24"/>
          <w:szCs w:val="24"/>
        </w:rPr>
        <w:drawing>
          <wp:inline distT="0" distB="0" distL="0" distR="0" wp14:anchorId="4922362B" wp14:editId="4084EACF">
            <wp:extent cx="5715000" cy="3000375"/>
            <wp:effectExtent l="0" t="0" r="0" b="0"/>
            <wp:docPr id="955409260" name="Picture 9554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3000375"/>
                    </a:xfrm>
                    <a:prstGeom prst="rect">
                      <a:avLst/>
                    </a:prstGeom>
                  </pic:spPr>
                </pic:pic>
              </a:graphicData>
            </a:graphic>
          </wp:inline>
        </w:drawing>
      </w:r>
    </w:p>
    <w:p w14:paraId="473DBF2D" w14:textId="77777777" w:rsidR="00AC5A22" w:rsidRPr="00AC5A22" w:rsidRDefault="00AC5A22" w:rsidP="00AC5A22">
      <w:pPr>
        <w:spacing w:after="240"/>
        <w:jc w:val="center"/>
        <w:rPr>
          <w:rFonts w:ascii="Aptos" w:hAnsi="Aptos"/>
          <w:color w:val="000000" w:themeColor="text1"/>
          <w:sz w:val="24"/>
          <w:szCs w:val="24"/>
        </w:rPr>
      </w:pPr>
      <w:r w:rsidRPr="00AC5A22">
        <w:rPr>
          <w:rFonts w:ascii="Aptos" w:hAnsi="Aptos"/>
          <w:i/>
          <w:iCs/>
          <w:color w:val="000000" w:themeColor="text1"/>
          <w:sz w:val="24"/>
          <w:szCs w:val="24"/>
        </w:rPr>
        <w:t xml:space="preserve">Figure 1 - Approximate route lengths compared with familiar distances. Sources [1, 3] </w:t>
      </w:r>
    </w:p>
    <w:p w14:paraId="26DBF0D9" w14:textId="77777777" w:rsidR="00AC5A22" w:rsidRPr="00AC5A22" w:rsidRDefault="00AC5A22" w:rsidP="00AC5A22">
      <w:pPr>
        <w:spacing w:after="240"/>
        <w:jc w:val="center"/>
        <w:rPr>
          <w:rFonts w:ascii="Aptos" w:hAnsi="Aptos"/>
          <w:color w:val="000000" w:themeColor="text1"/>
          <w:sz w:val="24"/>
          <w:szCs w:val="24"/>
        </w:rPr>
      </w:pPr>
      <w:r w:rsidRPr="00AC5A22">
        <w:rPr>
          <w:rFonts w:ascii="Aptos" w:hAnsi="Aptos"/>
          <w:i/>
          <w:iCs/>
          <w:noProof/>
          <w:color w:val="000000" w:themeColor="text1"/>
          <w:sz w:val="24"/>
          <w:szCs w:val="24"/>
        </w:rPr>
        <w:lastRenderedPageBreak/>
        <w:drawing>
          <wp:inline distT="0" distB="0" distL="0" distR="0" wp14:anchorId="4630E336" wp14:editId="5C896A8E">
            <wp:extent cx="5960110" cy="3220720"/>
            <wp:effectExtent l="0" t="0" r="0" b="5080"/>
            <wp:docPr id="2118447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47847" name="Picture 21184478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60110" cy="3220720"/>
                    </a:xfrm>
                    <a:prstGeom prst="rect">
                      <a:avLst/>
                    </a:prstGeom>
                  </pic:spPr>
                </pic:pic>
              </a:graphicData>
            </a:graphic>
          </wp:inline>
        </w:drawing>
      </w:r>
      <w:r w:rsidRPr="00AC5A22">
        <w:rPr>
          <w:rFonts w:ascii="Aptos" w:hAnsi="Aptos"/>
          <w:color w:val="000000" w:themeColor="text1"/>
          <w:sz w:val="24"/>
          <w:szCs w:val="24"/>
        </w:rPr>
        <w:t xml:space="preserve"> </w:t>
      </w:r>
    </w:p>
    <w:p w14:paraId="5EB383F4" w14:textId="77777777" w:rsidR="00AC5A22" w:rsidRPr="00AC5A22" w:rsidRDefault="00AC5A22" w:rsidP="00AC5A22">
      <w:pPr>
        <w:rPr>
          <w:rFonts w:ascii="Aptos" w:hAnsi="Aptos"/>
          <w:sz w:val="24"/>
          <w:szCs w:val="24"/>
        </w:rPr>
      </w:pPr>
    </w:p>
    <w:p w14:paraId="27DA20A7" w14:textId="77777777" w:rsidR="00AC5A22" w:rsidRPr="00AC5A22" w:rsidRDefault="00AC5A22" w:rsidP="00AC5A22">
      <w:pPr>
        <w:rPr>
          <w:rFonts w:ascii="Aptos" w:hAnsi="Aptos"/>
          <w:sz w:val="24"/>
          <w:szCs w:val="24"/>
        </w:rPr>
      </w:pPr>
    </w:p>
    <w:p w14:paraId="7623678E" w14:textId="77777777" w:rsidR="00AC5A22" w:rsidRPr="00AC5A22" w:rsidRDefault="00AC5A22" w:rsidP="00AC5A22">
      <w:pPr>
        <w:rPr>
          <w:rFonts w:ascii="Aptos" w:hAnsi="Aptos"/>
          <w:sz w:val="24"/>
          <w:szCs w:val="24"/>
        </w:rPr>
      </w:pPr>
    </w:p>
    <w:p w14:paraId="474897F7" w14:textId="77777777" w:rsidR="00AC5A22" w:rsidRPr="00AC5A22" w:rsidRDefault="00AC5A22" w:rsidP="00AC5A22">
      <w:pPr>
        <w:spacing w:after="240"/>
        <w:jc w:val="center"/>
        <w:rPr>
          <w:rFonts w:ascii="Aptos" w:hAnsi="Aptos"/>
          <w:color w:val="000000" w:themeColor="text1"/>
          <w:sz w:val="24"/>
          <w:szCs w:val="24"/>
        </w:rPr>
      </w:pPr>
      <w:r w:rsidRPr="00AC5A22">
        <w:rPr>
          <w:rFonts w:ascii="Aptos" w:hAnsi="Aptos"/>
          <w:color w:val="000000" w:themeColor="text1"/>
          <w:sz w:val="24"/>
          <w:szCs w:val="24"/>
        </w:rPr>
        <w:tab/>
      </w:r>
      <w:r w:rsidRPr="00AC5A22">
        <w:rPr>
          <w:rFonts w:ascii="Aptos" w:hAnsi="Aptos"/>
          <w:i/>
          <w:iCs/>
          <w:color w:val="000000" w:themeColor="text1"/>
          <w:sz w:val="24"/>
          <w:szCs w:val="24"/>
        </w:rPr>
        <w:t xml:space="preserve">Figure 2 </w:t>
      </w:r>
      <w:proofErr w:type="gramStart"/>
      <w:r w:rsidRPr="00AC5A22">
        <w:rPr>
          <w:rFonts w:ascii="Aptos" w:hAnsi="Aptos"/>
          <w:i/>
          <w:iCs/>
          <w:color w:val="000000" w:themeColor="text1"/>
          <w:sz w:val="24"/>
          <w:szCs w:val="24"/>
        </w:rPr>
        <w:t>-  Pipe</w:t>
      </w:r>
      <w:proofErr w:type="gramEnd"/>
      <w:r w:rsidRPr="00AC5A22">
        <w:rPr>
          <w:rFonts w:ascii="Aptos" w:hAnsi="Aptos"/>
          <w:i/>
          <w:iCs/>
          <w:color w:val="000000" w:themeColor="text1"/>
          <w:sz w:val="24"/>
          <w:szCs w:val="24"/>
        </w:rPr>
        <w:t xml:space="preserve"> diameters compared with everyday relatable objects, drawn to the same scale. Sources [1].</w:t>
      </w:r>
    </w:p>
    <w:p w14:paraId="46FAAF6E" w14:textId="77777777" w:rsidR="00AC5A22" w:rsidRPr="00AC5A22" w:rsidRDefault="00AC5A22" w:rsidP="00AC5A22">
      <w:pPr>
        <w:tabs>
          <w:tab w:val="left" w:pos="2966"/>
        </w:tabs>
        <w:spacing w:after="240"/>
        <w:rPr>
          <w:rFonts w:ascii="Aptos" w:hAnsi="Aptos"/>
          <w:color w:val="000000" w:themeColor="text1"/>
          <w:sz w:val="24"/>
          <w:szCs w:val="24"/>
        </w:rPr>
      </w:pPr>
    </w:p>
    <w:p w14:paraId="1A28DA7E" w14:textId="77777777" w:rsidR="00AC5A22" w:rsidRPr="00AC5A22" w:rsidRDefault="00AC5A22" w:rsidP="00AC5A22">
      <w:pPr>
        <w:spacing w:after="240"/>
        <w:jc w:val="center"/>
        <w:rPr>
          <w:rFonts w:ascii="Aptos" w:hAnsi="Aptos"/>
          <w:color w:val="000000" w:themeColor="text1"/>
          <w:sz w:val="24"/>
          <w:szCs w:val="24"/>
        </w:rPr>
      </w:pPr>
      <w:r w:rsidRPr="00AC5A22">
        <w:rPr>
          <w:rFonts w:ascii="Aptos" w:hAnsi="Aptos"/>
          <w:sz w:val="24"/>
          <w:szCs w:val="24"/>
        </w:rPr>
        <w:br w:type="page"/>
      </w:r>
      <w:r w:rsidRPr="00AC5A22">
        <w:rPr>
          <w:rFonts w:ascii="Aptos" w:hAnsi="Aptos"/>
          <w:noProof/>
          <w:color w:val="000000" w:themeColor="text1"/>
          <w:sz w:val="24"/>
          <w:szCs w:val="24"/>
        </w:rPr>
        <w:lastRenderedPageBreak/>
        <w:drawing>
          <wp:inline distT="0" distB="0" distL="0" distR="0" wp14:anchorId="1EC99E8F" wp14:editId="37D486AD">
            <wp:extent cx="5715000" cy="4287182"/>
            <wp:effectExtent l="0" t="0" r="0" b="0"/>
            <wp:docPr id="1734560245" name="Picture 173456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4287182"/>
                    </a:xfrm>
                    <a:prstGeom prst="rect">
                      <a:avLst/>
                    </a:prstGeom>
                  </pic:spPr>
                </pic:pic>
              </a:graphicData>
            </a:graphic>
          </wp:inline>
        </w:drawing>
      </w:r>
      <w:r w:rsidRPr="00AC5A22">
        <w:rPr>
          <w:rFonts w:ascii="Aptos" w:hAnsi="Aptos"/>
          <w:i/>
          <w:iCs/>
          <w:color w:val="000000" w:themeColor="text1"/>
          <w:sz w:val="24"/>
          <w:szCs w:val="24"/>
        </w:rPr>
        <w:t xml:space="preserve">Figure </w:t>
      </w:r>
      <w:proofErr w:type="gramStart"/>
      <w:r w:rsidRPr="00AC5A22">
        <w:rPr>
          <w:rFonts w:ascii="Aptos" w:hAnsi="Aptos"/>
          <w:i/>
          <w:iCs/>
          <w:color w:val="000000" w:themeColor="text1"/>
          <w:sz w:val="24"/>
          <w:szCs w:val="24"/>
        </w:rPr>
        <w:t>3  -</w:t>
      </w:r>
      <w:proofErr w:type="gramEnd"/>
      <w:r w:rsidRPr="00AC5A22">
        <w:rPr>
          <w:rFonts w:ascii="Aptos" w:hAnsi="Aptos"/>
          <w:i/>
          <w:iCs/>
          <w:color w:val="000000" w:themeColor="text1"/>
          <w:sz w:val="24"/>
          <w:szCs w:val="24"/>
        </w:rPr>
        <w:t xml:space="preserve">  The ~30 m temporary working corridor compared with the finished buried pipe. Sources [3, 4].</w:t>
      </w:r>
    </w:p>
    <w:p w14:paraId="2C52CAD9" w14:textId="77777777" w:rsidR="00AC5A22" w:rsidRPr="00AC5A22" w:rsidRDefault="00AC5A22" w:rsidP="00AC5A22">
      <w:pPr>
        <w:spacing w:before="120" w:after="220"/>
        <w:jc w:val="center"/>
        <w:rPr>
          <w:rFonts w:ascii="Aptos" w:hAnsi="Aptos"/>
          <w:color w:val="000000" w:themeColor="text1"/>
          <w:sz w:val="24"/>
          <w:szCs w:val="24"/>
        </w:rPr>
      </w:pPr>
      <w:r w:rsidRPr="00AC5A22">
        <w:rPr>
          <w:rFonts w:ascii="Aptos" w:hAnsi="Aptos"/>
          <w:noProof/>
          <w:color w:val="000000" w:themeColor="text1"/>
          <w:sz w:val="24"/>
          <w:szCs w:val="24"/>
        </w:rPr>
        <w:lastRenderedPageBreak/>
        <w:drawing>
          <wp:inline distT="0" distB="0" distL="0" distR="0" wp14:anchorId="6F3F738F" wp14:editId="7041378C">
            <wp:extent cx="5334000" cy="3619500"/>
            <wp:effectExtent l="0" t="0" r="0" b="0"/>
            <wp:docPr id="740390727" name="Picture 74039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334000" cy="3619500"/>
                    </a:xfrm>
                    <a:prstGeom prst="rect">
                      <a:avLst/>
                    </a:prstGeom>
                  </pic:spPr>
                </pic:pic>
              </a:graphicData>
            </a:graphic>
          </wp:inline>
        </w:drawing>
      </w:r>
    </w:p>
    <w:p w14:paraId="7F3CADB6" w14:textId="77777777" w:rsidR="00AC5A22" w:rsidRPr="00AC5A22" w:rsidRDefault="00AC5A22" w:rsidP="00AC5A22">
      <w:pPr>
        <w:spacing w:after="240"/>
        <w:jc w:val="center"/>
        <w:rPr>
          <w:rFonts w:ascii="Aptos" w:hAnsi="Aptos"/>
          <w:color w:val="000000" w:themeColor="text1"/>
          <w:sz w:val="24"/>
          <w:szCs w:val="24"/>
        </w:rPr>
      </w:pPr>
      <w:r w:rsidRPr="00AC5A22">
        <w:rPr>
          <w:rFonts w:ascii="Aptos" w:hAnsi="Aptos"/>
          <w:i/>
          <w:iCs/>
          <w:color w:val="000000" w:themeColor="text1"/>
          <w:sz w:val="24"/>
          <w:szCs w:val="24"/>
        </w:rPr>
        <w:t>Figure 4 - Maximum published footprint of the Coastal AGI, with full-size football pitches for scale. Sources [1].</w:t>
      </w:r>
    </w:p>
    <w:p w14:paraId="44192A82" w14:textId="77777777" w:rsidR="00AC5A22" w:rsidRDefault="00AC5A22" w:rsidP="00AC5A22">
      <w:pPr>
        <w:rPr>
          <w:rFonts w:ascii="Aptos" w:hAnsi="Aptos"/>
          <w:color w:val="000000" w:themeColor="text1"/>
          <w:sz w:val="24"/>
          <w:szCs w:val="24"/>
        </w:rPr>
      </w:pPr>
      <w:r w:rsidRPr="00AC5A22">
        <w:rPr>
          <w:rFonts w:ascii="Aptos" w:hAnsi="Aptos"/>
          <w:color w:val="000000" w:themeColor="text1"/>
          <w:sz w:val="24"/>
          <w:szCs w:val="24"/>
        </w:rPr>
        <w:br w:type="page"/>
      </w:r>
    </w:p>
    <w:p w14:paraId="24D1319B" w14:textId="77777777" w:rsidR="00AC5A22" w:rsidRDefault="00AC5A22" w:rsidP="00AC5A22">
      <w:pPr>
        <w:rPr>
          <w:rFonts w:ascii="Aptos" w:hAnsi="Aptos"/>
          <w:color w:val="000000" w:themeColor="text1"/>
          <w:sz w:val="24"/>
          <w:szCs w:val="24"/>
        </w:rPr>
      </w:pPr>
    </w:p>
    <w:p w14:paraId="55E118E0" w14:textId="14809B44" w:rsidR="00AC5A22" w:rsidRPr="00AC5A22" w:rsidRDefault="00AC5A22" w:rsidP="00AC5A22">
      <w:pPr>
        <w:rPr>
          <w:rFonts w:ascii="Aptos" w:hAnsi="Aptos"/>
          <w:b/>
          <w:bCs/>
          <w:color w:val="000000" w:themeColor="text1"/>
          <w:sz w:val="24"/>
          <w:szCs w:val="24"/>
          <w:u w:val="single"/>
        </w:rPr>
      </w:pPr>
      <w:r w:rsidRPr="00AC5A22">
        <w:rPr>
          <w:rFonts w:ascii="Aptos" w:hAnsi="Aptos"/>
          <w:b/>
          <w:bCs/>
          <w:color w:val="000000" w:themeColor="text1"/>
          <w:sz w:val="24"/>
          <w:szCs w:val="24"/>
          <w:u w:val="single"/>
        </w:rPr>
        <w:t>The consenting process in five steps</w:t>
      </w:r>
    </w:p>
    <w:p w14:paraId="378429A9" w14:textId="77777777" w:rsidR="00AC5A22" w:rsidRPr="00AC5A22" w:rsidRDefault="00AC5A22" w:rsidP="00AC5A22">
      <w:pPr>
        <w:rPr>
          <w:rFonts w:ascii="Aptos" w:hAnsi="Aptos"/>
          <w:b/>
          <w:bCs/>
          <w:color w:val="000000" w:themeColor="text1"/>
          <w:sz w:val="24"/>
          <w:szCs w:val="24"/>
          <w:u w:val="single"/>
        </w:rPr>
      </w:pPr>
    </w:p>
    <w:p w14:paraId="643EFB87" w14:textId="77777777" w:rsidR="00AC5A22" w:rsidRPr="00AC5A22" w:rsidRDefault="00AC5A22" w:rsidP="00AC5A22">
      <w:pPr>
        <w:pStyle w:val="ListParagraph"/>
        <w:numPr>
          <w:ilvl w:val="0"/>
          <w:numId w:val="46"/>
        </w:numPr>
        <w:spacing w:after="100" w:line="240" w:lineRule="auto"/>
        <w:contextualSpacing w:val="0"/>
        <w:rPr>
          <w:rFonts w:ascii="Aptos" w:hAnsi="Aptos"/>
          <w:color w:val="000000" w:themeColor="text1"/>
          <w:sz w:val="24"/>
          <w:szCs w:val="24"/>
        </w:rPr>
      </w:pPr>
      <w:r w:rsidRPr="00AC5A22">
        <w:rPr>
          <w:rFonts w:ascii="Aptos" w:hAnsi="Aptos"/>
          <w:b/>
          <w:bCs/>
          <w:color w:val="000000" w:themeColor="text1"/>
          <w:sz w:val="24"/>
          <w:szCs w:val="24"/>
        </w:rPr>
        <w:t xml:space="preserve">Pre-application (now): </w:t>
      </w:r>
      <w:r w:rsidRPr="00AC5A22">
        <w:rPr>
          <w:rFonts w:ascii="Aptos" w:hAnsi="Aptos"/>
          <w:color w:val="000000" w:themeColor="text1"/>
          <w:sz w:val="24"/>
          <w:szCs w:val="24"/>
        </w:rPr>
        <w:t>the developer consults communities and statutory bodies, carries out surveys and environmental assessment, and refines the design. The project is at this stage, with public consultation having taken place in 2026.</w:t>
      </w:r>
      <w:r w:rsidRPr="00AC5A22">
        <w:rPr>
          <w:rFonts w:ascii="Aptos" w:hAnsi="Aptos"/>
          <w:color w:val="000000" w:themeColor="text1"/>
          <w:sz w:val="24"/>
          <w:szCs w:val="24"/>
          <w:vertAlign w:val="superscript"/>
        </w:rPr>
        <w:t xml:space="preserve"> [6, 10]</w:t>
      </w:r>
    </w:p>
    <w:p w14:paraId="5F4460A7" w14:textId="77777777" w:rsidR="00AC5A22" w:rsidRPr="00AC5A22" w:rsidRDefault="00AC5A22" w:rsidP="00AC5A22">
      <w:pPr>
        <w:pStyle w:val="ListParagraph"/>
        <w:numPr>
          <w:ilvl w:val="0"/>
          <w:numId w:val="46"/>
        </w:numPr>
        <w:spacing w:after="100" w:line="240" w:lineRule="auto"/>
        <w:contextualSpacing w:val="0"/>
        <w:rPr>
          <w:rFonts w:ascii="Aptos" w:hAnsi="Aptos"/>
          <w:color w:val="000000" w:themeColor="text1"/>
          <w:sz w:val="24"/>
          <w:szCs w:val="24"/>
        </w:rPr>
      </w:pPr>
      <w:r w:rsidRPr="00AC5A22">
        <w:rPr>
          <w:rFonts w:ascii="Aptos" w:hAnsi="Aptos"/>
          <w:b/>
          <w:bCs/>
          <w:color w:val="000000" w:themeColor="text1"/>
          <w:sz w:val="24"/>
          <w:szCs w:val="24"/>
        </w:rPr>
        <w:t xml:space="preserve">Submission &amp; acceptance: </w:t>
      </w:r>
      <w:r w:rsidRPr="00AC5A22">
        <w:rPr>
          <w:rFonts w:ascii="Aptos" w:hAnsi="Aptos"/>
          <w:color w:val="000000" w:themeColor="text1"/>
          <w:sz w:val="24"/>
          <w:szCs w:val="24"/>
        </w:rPr>
        <w:t>the DCO application is submitted to the Planning Inspectorate (expected September 2027); PINS has 28 days to decide whether to accept it for examination.</w:t>
      </w:r>
      <w:r w:rsidRPr="00AC5A22">
        <w:rPr>
          <w:rFonts w:ascii="Aptos" w:hAnsi="Aptos"/>
          <w:color w:val="000000" w:themeColor="text1"/>
          <w:sz w:val="24"/>
          <w:szCs w:val="24"/>
          <w:vertAlign w:val="superscript"/>
        </w:rPr>
        <w:t xml:space="preserve"> [6]</w:t>
      </w:r>
    </w:p>
    <w:p w14:paraId="5D3CD51C" w14:textId="77777777" w:rsidR="00AC5A22" w:rsidRPr="00AC5A22" w:rsidRDefault="00AC5A22" w:rsidP="00AC5A22">
      <w:pPr>
        <w:pStyle w:val="ListParagraph"/>
        <w:numPr>
          <w:ilvl w:val="0"/>
          <w:numId w:val="46"/>
        </w:numPr>
        <w:spacing w:after="100" w:line="240" w:lineRule="auto"/>
        <w:contextualSpacing w:val="0"/>
        <w:rPr>
          <w:rFonts w:ascii="Aptos" w:hAnsi="Aptos"/>
          <w:color w:val="000000" w:themeColor="text1"/>
          <w:sz w:val="24"/>
          <w:szCs w:val="24"/>
        </w:rPr>
      </w:pPr>
      <w:r w:rsidRPr="00AC5A22">
        <w:rPr>
          <w:rFonts w:ascii="Aptos" w:hAnsi="Aptos"/>
          <w:b/>
          <w:bCs/>
          <w:color w:val="000000" w:themeColor="text1"/>
          <w:sz w:val="24"/>
          <w:szCs w:val="24"/>
        </w:rPr>
        <w:t xml:space="preserve">Registration: </w:t>
      </w:r>
      <w:r w:rsidRPr="00AC5A22">
        <w:rPr>
          <w:rFonts w:ascii="Aptos" w:hAnsi="Aptos"/>
          <w:color w:val="000000" w:themeColor="text1"/>
          <w:sz w:val="24"/>
          <w:szCs w:val="24"/>
        </w:rPr>
        <w:t xml:space="preserve">once accepted, members of the public and </w:t>
      </w:r>
      <w:proofErr w:type="spellStart"/>
      <w:r w:rsidRPr="00AC5A22">
        <w:rPr>
          <w:rFonts w:ascii="Aptos" w:hAnsi="Aptos"/>
          <w:color w:val="000000" w:themeColor="text1"/>
          <w:sz w:val="24"/>
          <w:szCs w:val="24"/>
        </w:rPr>
        <w:t>organisations</w:t>
      </w:r>
      <w:proofErr w:type="spellEnd"/>
      <w:r w:rsidRPr="00AC5A22">
        <w:rPr>
          <w:rFonts w:ascii="Aptos" w:hAnsi="Aptos"/>
          <w:color w:val="000000" w:themeColor="text1"/>
          <w:sz w:val="24"/>
          <w:szCs w:val="24"/>
        </w:rPr>
        <w:t xml:space="preserve"> can register as Interested Parties to make representations and view all application documents.</w:t>
      </w:r>
      <w:r w:rsidRPr="00AC5A22">
        <w:rPr>
          <w:rFonts w:ascii="Aptos" w:hAnsi="Aptos"/>
          <w:color w:val="000000" w:themeColor="text1"/>
          <w:sz w:val="24"/>
          <w:szCs w:val="24"/>
          <w:vertAlign w:val="superscript"/>
        </w:rPr>
        <w:t xml:space="preserve"> [6]</w:t>
      </w:r>
    </w:p>
    <w:p w14:paraId="01C88957" w14:textId="77777777" w:rsidR="00AC5A22" w:rsidRPr="00AC5A22" w:rsidRDefault="00AC5A22" w:rsidP="00AC5A22">
      <w:pPr>
        <w:pStyle w:val="ListParagraph"/>
        <w:numPr>
          <w:ilvl w:val="0"/>
          <w:numId w:val="46"/>
        </w:numPr>
        <w:spacing w:after="100" w:line="240" w:lineRule="auto"/>
        <w:contextualSpacing w:val="0"/>
        <w:rPr>
          <w:rFonts w:ascii="Aptos" w:hAnsi="Aptos"/>
          <w:color w:val="000000" w:themeColor="text1"/>
          <w:sz w:val="24"/>
          <w:szCs w:val="24"/>
        </w:rPr>
      </w:pPr>
      <w:r w:rsidRPr="00AC5A22">
        <w:rPr>
          <w:rFonts w:ascii="Aptos" w:hAnsi="Aptos"/>
          <w:b/>
          <w:bCs/>
          <w:color w:val="000000" w:themeColor="text1"/>
          <w:sz w:val="24"/>
          <w:szCs w:val="24"/>
        </w:rPr>
        <w:t xml:space="preserve">Examination: </w:t>
      </w:r>
      <w:r w:rsidRPr="00AC5A22">
        <w:rPr>
          <w:rFonts w:ascii="Aptos" w:hAnsi="Aptos"/>
          <w:color w:val="000000" w:themeColor="text1"/>
          <w:sz w:val="24"/>
          <w:szCs w:val="24"/>
        </w:rPr>
        <w:t>an Examining Authority appointed by PINS tests the application through written representations and hearings, normally over six months.</w:t>
      </w:r>
      <w:r w:rsidRPr="00AC5A22">
        <w:rPr>
          <w:rFonts w:ascii="Aptos" w:hAnsi="Aptos"/>
          <w:color w:val="000000" w:themeColor="text1"/>
          <w:sz w:val="24"/>
          <w:szCs w:val="24"/>
          <w:vertAlign w:val="superscript"/>
        </w:rPr>
        <w:t xml:space="preserve"> [6]</w:t>
      </w:r>
    </w:p>
    <w:p w14:paraId="05496CE1" w14:textId="77777777" w:rsidR="00AC5A22" w:rsidRPr="00AC5A22" w:rsidRDefault="00AC5A22" w:rsidP="00AC5A22">
      <w:pPr>
        <w:pStyle w:val="ListParagraph"/>
        <w:numPr>
          <w:ilvl w:val="0"/>
          <w:numId w:val="46"/>
        </w:numPr>
        <w:spacing w:after="100" w:line="240" w:lineRule="auto"/>
        <w:contextualSpacing w:val="0"/>
        <w:rPr>
          <w:rFonts w:ascii="Aptos" w:hAnsi="Aptos"/>
          <w:color w:val="000000" w:themeColor="text1"/>
          <w:sz w:val="24"/>
          <w:szCs w:val="24"/>
        </w:rPr>
      </w:pPr>
      <w:r w:rsidRPr="00AC5A22">
        <w:rPr>
          <w:rFonts w:ascii="Aptos" w:hAnsi="Aptos"/>
          <w:b/>
          <w:bCs/>
          <w:color w:val="000000" w:themeColor="text1"/>
          <w:sz w:val="24"/>
          <w:szCs w:val="24"/>
        </w:rPr>
        <w:t xml:space="preserve">Recommendation &amp; decision: </w:t>
      </w:r>
      <w:r w:rsidRPr="00AC5A22">
        <w:rPr>
          <w:rFonts w:ascii="Aptos" w:hAnsi="Aptos"/>
          <w:color w:val="000000" w:themeColor="text1"/>
          <w:sz w:val="24"/>
          <w:szCs w:val="24"/>
        </w:rPr>
        <w:t xml:space="preserve">PINS recommends; the Secretary of State for Energy Security and Net Zero </w:t>
      </w:r>
      <w:proofErr w:type="gramStart"/>
      <w:r w:rsidRPr="00AC5A22">
        <w:rPr>
          <w:rFonts w:ascii="Aptos" w:hAnsi="Aptos"/>
          <w:color w:val="000000" w:themeColor="text1"/>
          <w:sz w:val="24"/>
          <w:szCs w:val="24"/>
        </w:rPr>
        <w:t>decides</w:t>
      </w:r>
      <w:proofErr w:type="gramEnd"/>
      <w:r w:rsidRPr="00AC5A22">
        <w:rPr>
          <w:rFonts w:ascii="Aptos" w:hAnsi="Aptos"/>
          <w:color w:val="000000" w:themeColor="text1"/>
          <w:sz w:val="24"/>
          <w:szCs w:val="24"/>
        </w:rPr>
        <w:t xml:space="preserve"> whether to grant the DCO, which can include compulsory acquisition powers.</w:t>
      </w:r>
      <w:r w:rsidRPr="00AC5A22">
        <w:rPr>
          <w:rFonts w:ascii="Aptos" w:hAnsi="Aptos"/>
          <w:color w:val="000000" w:themeColor="text1"/>
          <w:sz w:val="24"/>
          <w:szCs w:val="24"/>
          <w:vertAlign w:val="superscript"/>
        </w:rPr>
        <w:t xml:space="preserve"> [5, 6]</w:t>
      </w:r>
    </w:p>
    <w:p w14:paraId="6CE2B5E6" w14:textId="77777777" w:rsidR="00AC5A22" w:rsidRPr="00AC5A22" w:rsidRDefault="00AC5A22" w:rsidP="00AC5A22">
      <w:pPr>
        <w:pStyle w:val="Heading1"/>
        <w:rPr>
          <w:rFonts w:ascii="Aptos" w:hAnsi="Aptos"/>
          <w:color w:val="000000" w:themeColor="text1"/>
          <w:sz w:val="24"/>
          <w:szCs w:val="24"/>
        </w:rPr>
      </w:pPr>
    </w:p>
    <w:p w14:paraId="5069384D" w14:textId="77777777" w:rsidR="00AC5A22" w:rsidRPr="00AC5A22" w:rsidRDefault="00AC5A22" w:rsidP="00AC5A22">
      <w:pPr>
        <w:pStyle w:val="Heading1"/>
        <w:rPr>
          <w:rFonts w:ascii="Aptos" w:hAnsi="Aptos"/>
          <w:color w:val="000000" w:themeColor="text1"/>
          <w:sz w:val="24"/>
          <w:szCs w:val="24"/>
        </w:rPr>
      </w:pPr>
    </w:p>
    <w:p w14:paraId="3A6A024A" w14:textId="77777777" w:rsidR="00AC5A22" w:rsidRDefault="00AC5A22" w:rsidP="00AC5A22">
      <w:pPr>
        <w:pStyle w:val="Heading1"/>
        <w:rPr>
          <w:rFonts w:ascii="Aptos" w:hAnsi="Aptos"/>
          <w:color w:val="000000" w:themeColor="text1"/>
          <w:sz w:val="24"/>
          <w:szCs w:val="24"/>
        </w:rPr>
      </w:pPr>
    </w:p>
    <w:p w14:paraId="181FA5A7" w14:textId="77777777" w:rsidR="00AC5A22" w:rsidRDefault="00AC5A22" w:rsidP="00AC5A22">
      <w:pPr>
        <w:pStyle w:val="Heading1"/>
        <w:rPr>
          <w:rFonts w:ascii="Aptos" w:hAnsi="Aptos"/>
          <w:color w:val="000000" w:themeColor="text1"/>
          <w:sz w:val="24"/>
          <w:szCs w:val="24"/>
        </w:rPr>
      </w:pPr>
    </w:p>
    <w:p w14:paraId="200CEBF8" w14:textId="77777777" w:rsidR="00AC5A22" w:rsidRPr="00AC5A22" w:rsidRDefault="00AC5A22" w:rsidP="00AC5A22"/>
    <w:p w14:paraId="7099A631" w14:textId="77777777" w:rsidR="00AC5A22" w:rsidRDefault="00AC5A22" w:rsidP="00AC5A22">
      <w:pPr>
        <w:pStyle w:val="Heading1"/>
        <w:rPr>
          <w:rFonts w:ascii="Aptos" w:hAnsi="Aptos"/>
          <w:color w:val="000000" w:themeColor="text1"/>
          <w:sz w:val="24"/>
          <w:szCs w:val="24"/>
        </w:rPr>
      </w:pPr>
    </w:p>
    <w:p w14:paraId="6FA1CEFE" w14:textId="2AC55D51" w:rsidR="00AC5A22" w:rsidRDefault="00AC5A22" w:rsidP="00AC5A22">
      <w:pPr>
        <w:pStyle w:val="Heading1"/>
        <w:rPr>
          <w:rFonts w:ascii="Aptos" w:hAnsi="Aptos"/>
          <w:color w:val="000000" w:themeColor="text1"/>
          <w:sz w:val="24"/>
          <w:szCs w:val="24"/>
        </w:rPr>
      </w:pPr>
      <w:r w:rsidRPr="00AC5A22">
        <w:rPr>
          <w:rFonts w:ascii="Aptos" w:hAnsi="Aptos"/>
          <w:color w:val="000000" w:themeColor="text1"/>
          <w:sz w:val="24"/>
          <w:szCs w:val="24"/>
        </w:rPr>
        <w:t>Sources (all publicly available; accessed August 2026)</w:t>
      </w:r>
    </w:p>
    <w:p w14:paraId="28F46310" w14:textId="77777777" w:rsidR="00AC5A22" w:rsidRPr="00AC5A22" w:rsidRDefault="00AC5A22" w:rsidP="00AC5A22"/>
    <w:p w14:paraId="2D8ECB21"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 </w:t>
      </w:r>
      <w:r w:rsidRPr="00AC5A22">
        <w:rPr>
          <w:rFonts w:ascii="Aptos" w:hAnsi="Aptos"/>
          <w:color w:val="000000" w:themeColor="text1"/>
          <w:sz w:val="24"/>
          <w:szCs w:val="24"/>
        </w:rPr>
        <w:t>Peak Cluster — 'Your Questions Answered' (project FAQ): peakcluster.co.uk/your-questions-answered</w:t>
      </w:r>
    </w:p>
    <w:p w14:paraId="5A137732"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[2] </w:t>
      </w:r>
      <w:r w:rsidRPr="00AC5A22">
        <w:rPr>
          <w:rFonts w:ascii="Aptos" w:hAnsi="Aptos"/>
          <w:color w:val="000000" w:themeColor="text1"/>
          <w:sz w:val="24"/>
          <w:szCs w:val="24"/>
        </w:rPr>
        <w:t>Peak Cluster — 'Carbon Capture and Storage' project page: peakcluster.co.uk/carbon-capture-and-storage</w:t>
      </w:r>
    </w:p>
    <w:p w14:paraId="37D09A92"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[3] </w:t>
      </w:r>
      <w:r w:rsidRPr="00AC5A22">
        <w:rPr>
          <w:rFonts w:ascii="Aptos" w:hAnsi="Aptos"/>
          <w:color w:val="000000" w:themeColor="text1"/>
          <w:sz w:val="24"/>
          <w:szCs w:val="24"/>
        </w:rPr>
        <w:t>Selby Rural / land agent briefing — 'Peak Cluster: what do you need to know?' (Nov 2025): selbyrural.co.uk/peak-cluster-what-you-need-to-know</w:t>
      </w:r>
    </w:p>
    <w:p w14:paraId="58C6B1F9"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[4] </w:t>
      </w:r>
      <w:r w:rsidRPr="00AC5A22">
        <w:rPr>
          <w:rFonts w:ascii="Aptos" w:hAnsi="Aptos"/>
          <w:color w:val="000000" w:themeColor="text1"/>
          <w:sz w:val="24"/>
          <w:szCs w:val="24"/>
        </w:rPr>
        <w:t>ITV News (9 Mar 2026) 'Hundreds of Wirral residents protest against Peak Cluster pipeline'; GB News (Apr 2026) reporting on pipeline dimensions and corridor: itv.com/news/</w:t>
      </w:r>
      <w:proofErr w:type="spellStart"/>
      <w:r w:rsidRPr="00AC5A22">
        <w:rPr>
          <w:rFonts w:ascii="Aptos" w:hAnsi="Aptos"/>
          <w:color w:val="000000" w:themeColor="text1"/>
          <w:sz w:val="24"/>
          <w:szCs w:val="24"/>
        </w:rPr>
        <w:t>granada</w:t>
      </w:r>
      <w:proofErr w:type="spellEnd"/>
      <w:r w:rsidRPr="00AC5A22">
        <w:rPr>
          <w:rFonts w:ascii="Aptos" w:hAnsi="Aptos"/>
          <w:color w:val="000000" w:themeColor="text1"/>
          <w:sz w:val="24"/>
          <w:szCs w:val="24"/>
        </w:rPr>
        <w:t>; gbnews.com</w:t>
      </w:r>
    </w:p>
    <w:p w14:paraId="59A67C9D"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[5] </w:t>
      </w:r>
      <w:r w:rsidRPr="00AC5A22">
        <w:rPr>
          <w:rFonts w:ascii="Aptos" w:hAnsi="Aptos"/>
          <w:color w:val="000000" w:themeColor="text1"/>
          <w:sz w:val="24"/>
          <w:szCs w:val="24"/>
        </w:rPr>
        <w:t>CPRE Peak District &amp; South Yorkshire — 'Understanding the Peak Cluster Project' (Jan 2026): cprepdsy.org.uk/news/understanding-the-peak-cluster-project</w:t>
      </w:r>
    </w:p>
    <w:p w14:paraId="63078719"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[6] </w:t>
      </w:r>
      <w:r w:rsidRPr="00AC5A22">
        <w:rPr>
          <w:rFonts w:ascii="Aptos" w:hAnsi="Aptos"/>
          <w:color w:val="000000" w:themeColor="text1"/>
          <w:sz w:val="24"/>
          <w:szCs w:val="24"/>
        </w:rPr>
        <w:t>Planning Inspectorate — Peak Cluster CCS Pipeline project page (ref. EN0710001), national-infrastructure-consenting.planninginspectorate.gov.uk/projects/EN0710001</w:t>
      </w:r>
    </w:p>
    <w:p w14:paraId="32D6B1C9"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[7] </w:t>
      </w:r>
      <w:r w:rsidRPr="00AC5A22">
        <w:rPr>
          <w:rFonts w:ascii="Aptos" w:hAnsi="Aptos"/>
          <w:color w:val="000000" w:themeColor="text1"/>
          <w:sz w:val="24"/>
          <w:szCs w:val="24"/>
        </w:rPr>
        <w:t xml:space="preserve">Arup — 'Arup appointed to the world's largest cement and lime </w:t>
      </w:r>
      <w:proofErr w:type="spellStart"/>
      <w:r w:rsidRPr="00AC5A22">
        <w:rPr>
          <w:rFonts w:ascii="Aptos" w:hAnsi="Aptos"/>
          <w:color w:val="000000" w:themeColor="text1"/>
          <w:sz w:val="24"/>
          <w:szCs w:val="24"/>
        </w:rPr>
        <w:t>decarbonisation</w:t>
      </w:r>
      <w:proofErr w:type="spellEnd"/>
      <w:r w:rsidRPr="00AC5A22">
        <w:rPr>
          <w:rFonts w:ascii="Aptos" w:hAnsi="Aptos"/>
          <w:color w:val="000000" w:themeColor="text1"/>
          <w:sz w:val="24"/>
          <w:szCs w:val="24"/>
        </w:rPr>
        <w:t xml:space="preserve"> project' (Oct 2025): arup.com</w:t>
      </w:r>
    </w:p>
    <w:p w14:paraId="716F2E7A"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[8] </w:t>
      </w:r>
      <w:r w:rsidRPr="00AC5A22">
        <w:rPr>
          <w:rFonts w:ascii="Aptos" w:hAnsi="Aptos"/>
          <w:color w:val="000000" w:themeColor="text1"/>
          <w:sz w:val="24"/>
          <w:szCs w:val="24"/>
        </w:rPr>
        <w:t>Derbyshire County Council / Peak District NPA — Tunstead &amp; Old Moor ROMP report (NP/HPK/1013/0898): democracy.peakdistrict.gov.uk (permission end dates, extraction rates, reserves)</w:t>
      </w:r>
    </w:p>
    <w:p w14:paraId="515702F1"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[9] </w:t>
      </w:r>
      <w:r w:rsidRPr="00AC5A22">
        <w:rPr>
          <w:rFonts w:ascii="Aptos" w:hAnsi="Aptos"/>
          <w:color w:val="000000" w:themeColor="text1"/>
          <w:sz w:val="24"/>
          <w:szCs w:val="24"/>
        </w:rPr>
        <w:t>Butcher &amp; Barlow LLP — 'Peak Cluster CO₂ pipeline: what farmers and landowners need to know' (Dec 2025): butcher-barlow.co.uk</w:t>
      </w:r>
    </w:p>
    <w:p w14:paraId="1218C4B9"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[10] </w:t>
      </w:r>
      <w:r w:rsidRPr="00AC5A22">
        <w:rPr>
          <w:rFonts w:ascii="Aptos" w:hAnsi="Aptos"/>
          <w:color w:val="000000" w:themeColor="text1"/>
          <w:sz w:val="24"/>
          <w:szCs w:val="24"/>
        </w:rPr>
        <w:t>High Peak Borough Council — 'Peak Cluster – Carbon Capture Pipeline Project' (Nov 2025): highpeak.gov.uk/article/8494</w:t>
      </w:r>
    </w:p>
    <w:p w14:paraId="223C7649" w14:textId="77777777" w:rsidR="00AC5A22" w:rsidRDefault="00AC5A22" w:rsidP="00AC5A22">
      <w:pPr>
        <w:spacing w:after="80"/>
        <w:ind w:left="480" w:hanging="480"/>
        <w:rPr>
          <w:rFonts w:ascii="Aptos" w:hAnsi="Aptos"/>
          <w:b/>
          <w:bCs/>
          <w:color w:val="000000" w:themeColor="text1"/>
          <w:sz w:val="24"/>
          <w:szCs w:val="24"/>
        </w:rPr>
      </w:pPr>
    </w:p>
    <w:p w14:paraId="667F1D3C" w14:textId="77777777" w:rsidR="00AC5A22" w:rsidRDefault="00AC5A22" w:rsidP="00AC5A22">
      <w:pPr>
        <w:spacing w:after="80"/>
        <w:ind w:left="480" w:hanging="480"/>
        <w:rPr>
          <w:rFonts w:ascii="Aptos" w:hAnsi="Aptos"/>
          <w:b/>
          <w:bCs/>
          <w:color w:val="000000" w:themeColor="text1"/>
          <w:sz w:val="24"/>
          <w:szCs w:val="24"/>
        </w:rPr>
      </w:pPr>
    </w:p>
    <w:p w14:paraId="5B3FB9A2" w14:textId="5DF6F76E"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[11] </w:t>
      </w:r>
      <w:r w:rsidRPr="00AC5A22">
        <w:rPr>
          <w:rFonts w:ascii="Aptos" w:hAnsi="Aptos"/>
          <w:color w:val="000000" w:themeColor="text1"/>
          <w:sz w:val="24"/>
          <w:szCs w:val="24"/>
        </w:rPr>
        <w:t>Peak Cluster news pages (Jan 2026): peakcluster.co.uk/2026/01 (National Wealth Fund investment, MNZ, 3 Mt/yr, 40% of UK cement &amp; lime)</w:t>
      </w:r>
    </w:p>
    <w:p w14:paraId="36C1602E"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[12] </w:t>
      </w:r>
      <w:r w:rsidRPr="00AC5A22">
        <w:rPr>
          <w:rFonts w:ascii="Aptos" w:hAnsi="Aptos"/>
          <w:color w:val="000000" w:themeColor="text1"/>
          <w:sz w:val="24"/>
          <w:szCs w:val="24"/>
        </w:rPr>
        <w:t>Peak Cluster consultation website — route section mapping and AGI naming: peakcluster-consultation.co.uk; Action Against CCS — 'AGIs, Block Valve Stations and Peak Cluster' analysis of consultation factsheets: actionagainstccs.com/</w:t>
      </w:r>
      <w:proofErr w:type="spellStart"/>
      <w:r w:rsidRPr="00AC5A22">
        <w:rPr>
          <w:rFonts w:ascii="Aptos" w:hAnsi="Aptos"/>
          <w:color w:val="000000" w:themeColor="text1"/>
          <w:sz w:val="24"/>
          <w:szCs w:val="24"/>
        </w:rPr>
        <w:t>agi</w:t>
      </w:r>
      <w:proofErr w:type="spellEnd"/>
    </w:p>
    <w:p w14:paraId="3393A6DE"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[13] </w:t>
      </w:r>
      <w:r w:rsidRPr="00AC5A22">
        <w:rPr>
          <w:rFonts w:ascii="Aptos" w:hAnsi="Aptos"/>
          <w:color w:val="000000" w:themeColor="text1"/>
          <w:sz w:val="24"/>
          <w:szCs w:val="24"/>
        </w:rPr>
        <w:t>Derbyshire Times (Jan 2026) — 'Derbyshire farmers and residents consider carbon capture underground pipeline plan': derbyshiretimes.co.uk</w:t>
      </w:r>
    </w:p>
    <w:p w14:paraId="42756A8A"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[14] </w:t>
      </w:r>
      <w:r w:rsidRPr="00AC5A22">
        <w:rPr>
          <w:rFonts w:ascii="Aptos" w:hAnsi="Aptos"/>
          <w:color w:val="000000" w:themeColor="text1"/>
          <w:sz w:val="24"/>
          <w:szCs w:val="24"/>
        </w:rPr>
        <w:t>Gosselin Mining — Tunstead Limestone Quarry overview: gosselinmining.com (site scale, 5–6 Mt/yr, largest UK limestone quarry)</w:t>
      </w:r>
    </w:p>
    <w:p w14:paraId="2D850C72"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[15] </w:t>
      </w:r>
      <w:r w:rsidRPr="00AC5A22">
        <w:rPr>
          <w:rFonts w:ascii="Aptos" w:hAnsi="Aptos"/>
          <w:color w:val="000000" w:themeColor="text1"/>
          <w:sz w:val="24"/>
          <w:szCs w:val="24"/>
        </w:rPr>
        <w:t>Cement Kilns UK — Tunstead history and lime plant: cementkilns.co.uk/cement_kiln_tunstead.html</w:t>
      </w:r>
    </w:p>
    <w:p w14:paraId="643B42DC"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[16] </w:t>
      </w:r>
      <w:r w:rsidRPr="00AC5A22">
        <w:rPr>
          <w:rFonts w:ascii="Aptos" w:hAnsi="Aptos"/>
          <w:color w:val="000000" w:themeColor="text1"/>
          <w:sz w:val="24"/>
          <w:szCs w:val="24"/>
        </w:rPr>
        <w:t>Hope Valley Climate Action — response to Breedon planning application NP/HPK/1020/0929 (1.2 Mt CO₂ in 2019; permission to 2042): hopevalleyclimateaction.org.uk</w:t>
      </w:r>
    </w:p>
    <w:p w14:paraId="5080DCC5"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[17] </w:t>
      </w:r>
      <w:r w:rsidRPr="00AC5A22">
        <w:rPr>
          <w:rFonts w:ascii="Aptos" w:hAnsi="Aptos"/>
          <w:color w:val="000000" w:themeColor="text1"/>
          <w:sz w:val="24"/>
          <w:szCs w:val="24"/>
        </w:rPr>
        <w:t>Breedon 'Hope Extension and Solar' public consultation (</w:t>
      </w:r>
      <w:proofErr w:type="spellStart"/>
      <w:r w:rsidRPr="00AC5A22">
        <w:rPr>
          <w:rFonts w:ascii="Aptos" w:hAnsi="Aptos"/>
          <w:color w:val="000000" w:themeColor="text1"/>
          <w:sz w:val="24"/>
          <w:szCs w:val="24"/>
        </w:rPr>
        <w:t>Deetu</w:t>
      </w:r>
      <w:proofErr w:type="spellEnd"/>
      <w:r w:rsidRPr="00AC5A22">
        <w:rPr>
          <w:rFonts w:ascii="Aptos" w:hAnsi="Aptos"/>
          <w:color w:val="000000" w:themeColor="text1"/>
          <w:sz w:val="24"/>
          <w:szCs w:val="24"/>
        </w:rPr>
        <w:t xml:space="preserve">/Engaged Space): </w:t>
      </w:r>
      <w:proofErr w:type="spellStart"/>
      <w:proofErr w:type="gramStart"/>
      <w:r w:rsidRPr="00AC5A22">
        <w:rPr>
          <w:rFonts w:ascii="Aptos" w:hAnsi="Aptos"/>
          <w:color w:val="000000" w:themeColor="text1"/>
          <w:sz w:val="24"/>
          <w:szCs w:val="24"/>
        </w:rPr>
        <w:t>my.engaged</w:t>
      </w:r>
      <w:proofErr w:type="gramEnd"/>
      <w:r w:rsidRPr="00AC5A22">
        <w:rPr>
          <w:rFonts w:ascii="Aptos" w:hAnsi="Aptos"/>
          <w:color w:val="000000" w:themeColor="text1"/>
          <w:sz w:val="24"/>
          <w:szCs w:val="24"/>
        </w:rPr>
        <w:t>.space</w:t>
      </w:r>
      <w:proofErr w:type="spellEnd"/>
      <w:r w:rsidRPr="00AC5A22">
        <w:rPr>
          <w:rFonts w:ascii="Aptos" w:hAnsi="Aptos"/>
          <w:color w:val="000000" w:themeColor="text1"/>
          <w:sz w:val="24"/>
          <w:szCs w:val="24"/>
        </w:rPr>
        <w:t>/hope (mid-2030s exhaustion; extension need)</w:t>
      </w:r>
    </w:p>
    <w:p w14:paraId="7AA24C27"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[18] </w:t>
      </w:r>
      <w:r w:rsidRPr="00AC5A22">
        <w:rPr>
          <w:rFonts w:ascii="Aptos" w:hAnsi="Aptos"/>
          <w:color w:val="000000" w:themeColor="text1"/>
          <w:sz w:val="24"/>
          <w:szCs w:val="24"/>
        </w:rPr>
        <w:t>Derbyshire Times (Feb 2026) &amp; Global Cement (Mar 2026) — Hope Works quarry extension application: 13 Mt limestone, +7.5 years to Feb 2042, 223 jobs: derbyshiretimes.co.uk; globalcement.com</w:t>
      </w:r>
    </w:p>
    <w:p w14:paraId="3F506529"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[19] </w:t>
      </w:r>
      <w:r w:rsidRPr="00AC5A22">
        <w:rPr>
          <w:rFonts w:ascii="Aptos" w:hAnsi="Aptos"/>
          <w:color w:val="000000" w:themeColor="text1"/>
          <w:sz w:val="24"/>
          <w:szCs w:val="24"/>
        </w:rPr>
        <w:t>Peak District NPA planning committee report (Aug 2022), application NP/HPK/1020/0929 — Hope Works ARM rail importation; cessation by 22 Feb 2042 and decommissioning/restoration obligations under the 1969 consent: democracy.peakdistrict.gov.uk</w:t>
      </w:r>
    </w:p>
    <w:p w14:paraId="0A45AC71"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[20] </w:t>
      </w:r>
      <w:r w:rsidRPr="00AC5A22">
        <w:rPr>
          <w:rFonts w:ascii="Aptos" w:hAnsi="Aptos"/>
          <w:color w:val="000000" w:themeColor="text1"/>
          <w:sz w:val="24"/>
          <w:szCs w:val="24"/>
        </w:rPr>
        <w:t>Staffordshire County Council — 'Applications making headlines': Cauldon Quarry Complex application SCC/22/0136/FULL-ES: staffordshire.gov.uk/planning</w:t>
      </w:r>
    </w:p>
    <w:p w14:paraId="785EE116" w14:textId="77777777" w:rsid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[21] </w:t>
      </w:r>
      <w:r w:rsidRPr="00AC5A22">
        <w:rPr>
          <w:rFonts w:ascii="Aptos" w:hAnsi="Aptos"/>
          <w:color w:val="000000" w:themeColor="text1"/>
          <w:sz w:val="24"/>
          <w:szCs w:val="24"/>
        </w:rPr>
        <w:t xml:space="preserve">East Midlands Combined County Authority — Mayor's visit to Peak Cluster ('fully up and running in 2030'): eastmidlands-cca.gov.uk; BBC News (May </w:t>
      </w:r>
    </w:p>
    <w:p w14:paraId="460F3580" w14:textId="77777777" w:rsidR="00AC5A22" w:rsidRDefault="00AC5A22" w:rsidP="00AC5A22">
      <w:pPr>
        <w:spacing w:after="80"/>
        <w:ind w:left="480" w:hanging="480"/>
        <w:rPr>
          <w:rFonts w:ascii="Aptos" w:hAnsi="Aptos"/>
          <w:color w:val="000000" w:themeColor="text1"/>
          <w:sz w:val="24"/>
          <w:szCs w:val="24"/>
        </w:rPr>
      </w:pPr>
    </w:p>
    <w:p w14:paraId="2DF516A9" w14:textId="6AEDF64F"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color w:val="000000" w:themeColor="text1"/>
          <w:sz w:val="24"/>
          <w:szCs w:val="24"/>
        </w:rPr>
        <w:t>2023) 'Pipeline network planned to cut greenhouse gas emissions from industry'</w:t>
      </w:r>
    </w:p>
    <w:p w14:paraId="2E73204C" w14:textId="77777777" w:rsidR="00AC5A22" w:rsidRPr="00AC5A22" w:rsidRDefault="00AC5A22" w:rsidP="00AC5A22">
      <w:pPr>
        <w:spacing w:after="80"/>
        <w:ind w:left="480" w:hanging="480"/>
        <w:rPr>
          <w:rFonts w:ascii="Aptos" w:hAnsi="Aptos"/>
          <w:color w:val="000000" w:themeColor="text1"/>
          <w:sz w:val="24"/>
          <w:szCs w:val="24"/>
        </w:rPr>
      </w:pPr>
      <w:r w:rsidRPr="00AC5A22">
        <w:rPr>
          <w:rFonts w:ascii="Aptos" w:hAnsi="Aptos"/>
          <w:b/>
          <w:bCs/>
          <w:color w:val="000000" w:themeColor="text1"/>
          <w:sz w:val="24"/>
          <w:szCs w:val="24"/>
        </w:rPr>
        <w:t xml:space="preserve">[22] </w:t>
      </w:r>
      <w:r w:rsidRPr="00AC5A22">
        <w:rPr>
          <w:rFonts w:ascii="Aptos" w:hAnsi="Aptos"/>
          <w:color w:val="000000" w:themeColor="text1"/>
          <w:sz w:val="24"/>
          <w:szCs w:val="24"/>
        </w:rPr>
        <w:t>Derbyshire and Derby Minerals Local Plan — Chapter 7.2 Industrial Limestone Development Paper: derbyshire.gov.uk (more than 40 active or dormant mineral sites in the plan area have permissions expiring in 2042, stemming from permissions granted in February 1982)</w:t>
      </w:r>
    </w:p>
    <w:p w14:paraId="11AAC15A" w14:textId="77777777" w:rsidR="00AC5A22" w:rsidRPr="00AC5A22" w:rsidRDefault="00AC5A22" w:rsidP="00AC5A22">
      <w:pPr>
        <w:spacing w:after="60"/>
        <w:rPr>
          <w:rFonts w:ascii="Aptos" w:hAnsi="Aptos"/>
          <w:color w:val="000000" w:themeColor="text1"/>
          <w:sz w:val="24"/>
          <w:szCs w:val="24"/>
        </w:rPr>
      </w:pPr>
    </w:p>
    <w:p w14:paraId="5EC866F2" w14:textId="77777777" w:rsidR="00AC5A22" w:rsidRPr="00AC5A22" w:rsidRDefault="00AC5A22" w:rsidP="00AC5A22">
      <w:pPr>
        <w:spacing w:after="160"/>
        <w:rPr>
          <w:rFonts w:ascii="Aptos" w:hAnsi="Aptos"/>
          <w:b/>
          <w:bCs/>
          <w:sz w:val="24"/>
          <w:szCs w:val="24"/>
        </w:rPr>
      </w:pPr>
      <w:r w:rsidRPr="00AC5A22">
        <w:rPr>
          <w:rFonts w:ascii="Aptos" w:hAnsi="Aptos"/>
          <w:b/>
          <w:bCs/>
          <w:i/>
          <w:iCs/>
          <w:color w:val="000000" w:themeColor="text1"/>
          <w:sz w:val="24"/>
          <w:szCs w:val="24"/>
        </w:rPr>
        <w:t xml:space="preserve">Disclaimer: This document </w:t>
      </w:r>
      <w:proofErr w:type="spellStart"/>
      <w:r w:rsidRPr="00AC5A22">
        <w:rPr>
          <w:rFonts w:ascii="Aptos" w:hAnsi="Aptos"/>
          <w:b/>
          <w:bCs/>
          <w:i/>
          <w:iCs/>
          <w:color w:val="000000" w:themeColor="text1"/>
          <w:sz w:val="24"/>
          <w:szCs w:val="24"/>
        </w:rPr>
        <w:t>summarises</w:t>
      </w:r>
      <w:proofErr w:type="spellEnd"/>
      <w:r w:rsidRPr="00AC5A22">
        <w:rPr>
          <w:rFonts w:ascii="Aptos" w:hAnsi="Aptos"/>
          <w:b/>
          <w:bCs/>
          <w:i/>
          <w:iCs/>
          <w:color w:val="000000" w:themeColor="text1"/>
          <w:sz w:val="24"/>
          <w:szCs w:val="24"/>
        </w:rPr>
        <w:t xml:space="preserve"> information published by the project developer, public authorities, professional advisers, community </w:t>
      </w:r>
      <w:proofErr w:type="spellStart"/>
      <w:r w:rsidRPr="00AC5A22">
        <w:rPr>
          <w:rFonts w:ascii="Aptos" w:hAnsi="Aptos"/>
          <w:b/>
          <w:bCs/>
          <w:i/>
          <w:iCs/>
          <w:color w:val="000000" w:themeColor="text1"/>
          <w:sz w:val="24"/>
          <w:szCs w:val="24"/>
        </w:rPr>
        <w:t>organisations</w:t>
      </w:r>
      <w:proofErr w:type="spellEnd"/>
      <w:r w:rsidRPr="00AC5A22">
        <w:rPr>
          <w:rFonts w:ascii="Aptos" w:hAnsi="Aptos"/>
          <w:b/>
          <w:bCs/>
          <w:i/>
          <w:iCs/>
          <w:color w:val="000000" w:themeColor="text1"/>
          <w:sz w:val="24"/>
          <w:szCs w:val="24"/>
        </w:rPr>
        <w:t xml:space="preserve"> and news media, with each statement attributed to its source. It is provided for general information and does not constitute legal or professional advice. Figures reflect the position at the date of preparation and are subject to change as the project develops. Any views quoted are those of the attributed source.</w:t>
      </w:r>
    </w:p>
    <w:p w14:paraId="6C516BE6" w14:textId="7CDA5CBE" w:rsidR="00402B6D" w:rsidRPr="00AC5A22" w:rsidRDefault="00402B6D" w:rsidP="00402B6D">
      <w:pPr>
        <w:rPr>
          <w:rFonts w:ascii="Aptos" w:hAnsi="Aptos"/>
          <w:sz w:val="24"/>
          <w:szCs w:val="24"/>
          <w:lang w:val="en-GB"/>
        </w:rPr>
      </w:pPr>
    </w:p>
    <w:sectPr w:rsidR="00402B6D" w:rsidRPr="00AC5A22" w:rsidSect="00034616">
      <w:headerReference w:type="default"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940153" w14:textId="77777777" w:rsidR="00173072" w:rsidRDefault="00173072">
      <w:pPr>
        <w:spacing w:after="0" w:line="240" w:lineRule="auto"/>
      </w:pPr>
      <w:r>
        <w:separator/>
      </w:r>
    </w:p>
  </w:endnote>
  <w:endnote w:type="continuationSeparator" w:id="0">
    <w:p w14:paraId="245D6B17" w14:textId="77777777" w:rsidR="00173072" w:rsidRDefault="00173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0DA3E" w14:textId="77777777" w:rsidR="00F11886" w:rsidRPr="00C76C4E" w:rsidRDefault="00410387">
    <w:pPr>
      <w:pStyle w:val="Footer"/>
      <w:jc w:val="center"/>
      <w:rPr>
        <w:rFonts w:ascii="Aptos" w:hAnsi="Aptos"/>
      </w:rPr>
    </w:pPr>
    <w:r w:rsidRPr="00C76C4E">
      <w:rPr>
        <w:rFonts w:ascii="Aptos" w:hAnsi="Aptos"/>
      </w:rPr>
      <w:t xml:space="preserve">ACTION AGAINST CARBON CAPTURE </w:t>
    </w:r>
    <w:r w:rsidR="00F11886" w:rsidRPr="00C76C4E">
      <w:rPr>
        <w:rFonts w:ascii="Aptos" w:hAnsi="Aptos"/>
      </w:rPr>
      <w:t>AND</w:t>
    </w:r>
  </w:p>
  <w:p w14:paraId="594F4954" w14:textId="7FFA6A66" w:rsidR="00BA5768" w:rsidRPr="00C76C4E" w:rsidRDefault="00410387">
    <w:pPr>
      <w:pStyle w:val="Footer"/>
      <w:jc w:val="center"/>
      <w:rPr>
        <w:rFonts w:ascii="Aptos" w:hAnsi="Aptos"/>
      </w:rPr>
    </w:pPr>
    <w:r w:rsidRPr="00C76C4E">
      <w:rPr>
        <w:rFonts w:ascii="Aptos" w:hAnsi="Aptos"/>
      </w:rPr>
      <w:t xml:space="preserve"> STORAGE (AACCS) | Company Number 17120749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83DC28" w14:textId="77777777" w:rsidR="00173072" w:rsidRDefault="00173072">
      <w:pPr>
        <w:spacing w:after="0" w:line="240" w:lineRule="auto"/>
      </w:pPr>
      <w:r>
        <w:separator/>
      </w:r>
    </w:p>
  </w:footnote>
  <w:footnote w:type="continuationSeparator" w:id="0">
    <w:p w14:paraId="3CA13193" w14:textId="77777777" w:rsidR="00173072" w:rsidRDefault="00173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741B2C" w14:textId="77777777" w:rsidR="00BA5768" w:rsidRDefault="00BA5768">
    <w:pPr>
      <w:pStyle w:val="Header"/>
    </w:pPr>
  </w:p>
  <w:tbl>
    <w:tblPr>
      <w:tblW w:w="0" w:type="auto"/>
      <w:tblLook w:val="04A0" w:firstRow="1" w:lastRow="0" w:firstColumn="1" w:lastColumn="0" w:noHBand="0" w:noVBand="1"/>
    </w:tblPr>
    <w:tblGrid>
      <w:gridCol w:w="4416"/>
      <w:gridCol w:w="4224"/>
    </w:tblGrid>
    <w:tr w:rsidR="00BA5768" w14:paraId="2AA0FCFD" w14:textId="77777777">
      <w:tc>
        <w:tcPr>
          <w:tcW w:w="6120" w:type="dxa"/>
          <w:shd w:val="clear" w:color="auto" w:fill="F2D23B"/>
        </w:tcPr>
        <w:p w14:paraId="79434EE8" w14:textId="77777777" w:rsidR="00BA5768" w:rsidRDefault="00410387">
          <w:r>
            <w:rPr>
              <w:noProof/>
            </w:rPr>
            <w:drawing>
              <wp:inline distT="0" distB="0" distL="0" distR="0" wp14:anchorId="1AC9E64A" wp14:editId="4E945BE1">
                <wp:extent cx="1280160" cy="9718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91EBB0-288A-47F3-A3D8-1916748C29D2.jpeg"/>
                        <pic:cNvPicPr/>
                      </pic:nvPicPr>
                      <pic:blipFill>
                        <a:blip r:embed="rId1"/>
                        <a:stretch>
                          <a:fillRect/>
                        </a:stretch>
                      </pic:blipFill>
                      <pic:spPr>
                        <a:xfrm>
                          <a:off x="0" y="0"/>
                          <a:ext cx="1280160" cy="971889"/>
                        </a:xfrm>
                        <a:prstGeom prst="rect">
                          <a:avLst/>
                        </a:prstGeom>
                      </pic:spPr>
                    </pic:pic>
                  </a:graphicData>
                </a:graphic>
              </wp:inline>
            </w:drawing>
          </w:r>
        </w:p>
      </w:tc>
      <w:tc>
        <w:tcPr>
          <w:tcW w:w="6120" w:type="dxa"/>
          <w:shd w:val="clear" w:color="auto" w:fill="F2D23B"/>
        </w:tcPr>
        <w:p w14:paraId="26371803" w14:textId="4B42E1E6" w:rsidR="00BA5768" w:rsidRDefault="00410387">
          <w:pPr>
            <w:jc w:val="right"/>
          </w:pPr>
          <w:r>
            <w:rPr>
              <w:rFonts w:ascii="Aptos" w:hAnsi="Aptos"/>
              <w:b/>
              <w:sz w:val="36"/>
            </w:rPr>
            <w:t>ACTION AGAINST</w:t>
          </w:r>
          <w:r>
            <w:rPr>
              <w:rFonts w:ascii="Aptos" w:hAnsi="Aptos"/>
              <w:b/>
              <w:sz w:val="36"/>
            </w:rPr>
            <w:br/>
            <w:t xml:space="preserve">CARBON CAPTURE </w:t>
          </w:r>
          <w:r w:rsidR="00E34711">
            <w:rPr>
              <w:rFonts w:ascii="Aptos" w:hAnsi="Aptos"/>
              <w:b/>
              <w:sz w:val="36"/>
            </w:rPr>
            <w:t>AND</w:t>
          </w:r>
          <w:r>
            <w:rPr>
              <w:rFonts w:ascii="Aptos" w:hAnsi="Aptos"/>
              <w:b/>
              <w:sz w:val="36"/>
            </w:rPr>
            <w:t xml:space="preserve"> STORAGE</w:t>
          </w:r>
          <w:r w:rsidR="00481D32">
            <w:rPr>
              <w:rFonts w:ascii="Aptos" w:hAnsi="Aptos"/>
              <w:b/>
              <w:sz w:val="36"/>
            </w:rPr>
            <w:t xml:space="preserve"> LIMITED</w:t>
          </w:r>
          <w:r>
            <w:rPr>
              <w:rFonts w:ascii="Aptos" w:hAnsi="Aptos"/>
              <w:b/>
              <w:sz w:val="36"/>
            </w:rPr>
            <w:br/>
          </w:r>
          <w:r>
            <w:rPr>
              <w:rFonts w:ascii="Aptos" w:hAnsi="Aptos"/>
              <w:sz w:val="20"/>
            </w:rPr>
            <w:t xml:space="preserve">Community Campaign </w:t>
          </w:r>
          <w:proofErr w:type="spellStart"/>
          <w:r>
            <w:rPr>
              <w:rFonts w:ascii="Aptos" w:hAnsi="Aptos"/>
              <w:sz w:val="20"/>
            </w:rPr>
            <w:t>Organisation</w:t>
          </w:r>
          <w:proofErr w:type="spellEnd"/>
          <w:r>
            <w:rPr>
              <w:rFonts w:ascii="Aptos" w:hAnsi="Aptos"/>
              <w:sz w:val="20"/>
            </w:rPr>
            <w:br/>
            <w:t>Company Number 17120749</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09"/>
    <w:multiLevelType w:val="hybridMultilevel"/>
    <w:tmpl w:val="FFFFFFFF"/>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0A"/>
    <w:multiLevelType w:val="hybridMultilevel"/>
    <w:tmpl w:val="FFFFFFFF"/>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000F"/>
    <w:multiLevelType w:val="hybridMultilevel"/>
    <w:tmpl w:val="FFFFFFF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0010"/>
    <w:multiLevelType w:val="hybridMultilevel"/>
    <w:tmpl w:val="FFFFFFFF"/>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0011"/>
    <w:multiLevelType w:val="hybridMultilevel"/>
    <w:tmpl w:val="FFFFFFFF"/>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0012"/>
    <w:multiLevelType w:val="hybridMultilevel"/>
    <w:tmpl w:val="FFFFFFFF"/>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0013"/>
    <w:multiLevelType w:val="hybridMultilevel"/>
    <w:tmpl w:val="FFFFFFFF"/>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0014"/>
    <w:multiLevelType w:val="hybridMultilevel"/>
    <w:tmpl w:val="FFFFFFFF"/>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0015"/>
    <w:multiLevelType w:val="hybridMultilevel"/>
    <w:tmpl w:val="FFFFFFFF"/>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0016"/>
    <w:multiLevelType w:val="hybridMultilevel"/>
    <w:tmpl w:val="FFFFFFFF"/>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0017"/>
    <w:multiLevelType w:val="hybridMultilevel"/>
    <w:tmpl w:val="FFFFFFFF"/>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0018"/>
    <w:multiLevelType w:val="hybridMultilevel"/>
    <w:tmpl w:val="FFFFFFFF"/>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0019"/>
    <w:multiLevelType w:val="hybridMultilevel"/>
    <w:tmpl w:val="FFFFFFFF"/>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0000001A"/>
    <w:multiLevelType w:val="hybridMultilevel"/>
    <w:tmpl w:val="FFFFFFFF"/>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0000001B"/>
    <w:multiLevelType w:val="hybridMultilevel"/>
    <w:tmpl w:val="FFFFFFFF"/>
    <w:lvl w:ilvl="0" w:tplc="00000A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0000001C"/>
    <w:multiLevelType w:val="hybridMultilevel"/>
    <w:tmpl w:val="FFFFFFFF"/>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0000001D"/>
    <w:multiLevelType w:val="hybridMultilevel"/>
    <w:tmpl w:val="FFFFFFFF"/>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0000001E"/>
    <w:multiLevelType w:val="hybridMultilevel"/>
    <w:tmpl w:val="FFFFFFFF"/>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0000001F"/>
    <w:multiLevelType w:val="hybridMultilevel"/>
    <w:tmpl w:val="FFFFFFFF"/>
    <w:lvl w:ilvl="0" w:tplc="00000B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00000020"/>
    <w:multiLevelType w:val="hybridMultilevel"/>
    <w:tmpl w:val="FFFFFFFF"/>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00000021"/>
    <w:multiLevelType w:val="hybridMultilevel"/>
    <w:tmpl w:val="FFFFFFFF"/>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00000022"/>
    <w:multiLevelType w:val="hybridMultilevel"/>
    <w:tmpl w:val="FFFFFFFF"/>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00000023"/>
    <w:multiLevelType w:val="hybridMultilevel"/>
    <w:tmpl w:val="FFFFFFFF"/>
    <w:lvl w:ilvl="0" w:tplc="00000D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00000024"/>
    <w:multiLevelType w:val="hybridMultilevel"/>
    <w:tmpl w:val="FFFFFFFF"/>
    <w:lvl w:ilvl="0" w:tplc="00000DA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10596C7D"/>
    <w:multiLevelType w:val="hybridMultilevel"/>
    <w:tmpl w:val="A216A41E"/>
    <w:lvl w:ilvl="0" w:tplc="919EF292">
      <w:start w:val="1"/>
      <w:numFmt w:val="bullet"/>
      <w:lvlText w:val="–"/>
      <w:lvlJc w:val="left"/>
      <w:pPr>
        <w:ind w:left="480" w:hanging="240"/>
      </w:pPr>
    </w:lvl>
    <w:lvl w:ilvl="1" w:tplc="59C2F9A4">
      <w:numFmt w:val="decimal"/>
      <w:lvlText w:val=""/>
      <w:lvlJc w:val="left"/>
    </w:lvl>
    <w:lvl w:ilvl="2" w:tplc="9AE25F2E">
      <w:numFmt w:val="decimal"/>
      <w:lvlText w:val=""/>
      <w:lvlJc w:val="left"/>
    </w:lvl>
    <w:lvl w:ilvl="3" w:tplc="DA603598">
      <w:numFmt w:val="decimal"/>
      <w:lvlText w:val=""/>
      <w:lvlJc w:val="left"/>
    </w:lvl>
    <w:lvl w:ilvl="4" w:tplc="5ED44576">
      <w:numFmt w:val="decimal"/>
      <w:lvlText w:val=""/>
      <w:lvlJc w:val="left"/>
    </w:lvl>
    <w:lvl w:ilvl="5" w:tplc="2A0A1D0A">
      <w:numFmt w:val="decimal"/>
      <w:lvlText w:val=""/>
      <w:lvlJc w:val="left"/>
    </w:lvl>
    <w:lvl w:ilvl="6" w:tplc="663A52E6">
      <w:numFmt w:val="decimal"/>
      <w:lvlText w:val=""/>
      <w:lvlJc w:val="left"/>
    </w:lvl>
    <w:lvl w:ilvl="7" w:tplc="B8B6B4C4">
      <w:numFmt w:val="decimal"/>
      <w:lvlText w:val=""/>
      <w:lvlJc w:val="left"/>
    </w:lvl>
    <w:lvl w:ilvl="8" w:tplc="4C00FA8E">
      <w:numFmt w:val="decimal"/>
      <w:lvlText w:val=""/>
      <w:lvlJc w:val="left"/>
    </w:lvl>
  </w:abstractNum>
  <w:num w:numId="1" w16cid:durableId="1355964768">
    <w:abstractNumId w:val="8"/>
  </w:num>
  <w:num w:numId="2" w16cid:durableId="283580783">
    <w:abstractNumId w:val="6"/>
  </w:num>
  <w:num w:numId="3" w16cid:durableId="1459102407">
    <w:abstractNumId w:val="5"/>
  </w:num>
  <w:num w:numId="4" w16cid:durableId="1155608845">
    <w:abstractNumId w:val="4"/>
  </w:num>
  <w:num w:numId="5" w16cid:durableId="812870173">
    <w:abstractNumId w:val="7"/>
  </w:num>
  <w:num w:numId="6" w16cid:durableId="1675188269">
    <w:abstractNumId w:val="3"/>
  </w:num>
  <w:num w:numId="7" w16cid:durableId="515852949">
    <w:abstractNumId w:val="2"/>
  </w:num>
  <w:num w:numId="8" w16cid:durableId="280501557">
    <w:abstractNumId w:val="1"/>
  </w:num>
  <w:num w:numId="9" w16cid:durableId="1157457168">
    <w:abstractNumId w:val="0"/>
  </w:num>
  <w:num w:numId="10" w16cid:durableId="1374496731">
    <w:abstractNumId w:val="9"/>
  </w:num>
  <w:num w:numId="11" w16cid:durableId="1164706869">
    <w:abstractNumId w:val="10"/>
  </w:num>
  <w:num w:numId="12" w16cid:durableId="599459744">
    <w:abstractNumId w:val="11"/>
  </w:num>
  <w:num w:numId="13" w16cid:durableId="1050105164">
    <w:abstractNumId w:val="12"/>
  </w:num>
  <w:num w:numId="14" w16cid:durableId="272058664">
    <w:abstractNumId w:val="13"/>
  </w:num>
  <w:num w:numId="15" w16cid:durableId="1105543276">
    <w:abstractNumId w:val="14"/>
  </w:num>
  <w:num w:numId="16" w16cid:durableId="660082377">
    <w:abstractNumId w:val="15"/>
  </w:num>
  <w:num w:numId="17" w16cid:durableId="1468470831">
    <w:abstractNumId w:val="16"/>
  </w:num>
  <w:num w:numId="18" w16cid:durableId="1342246239">
    <w:abstractNumId w:val="17"/>
  </w:num>
  <w:num w:numId="19" w16cid:durableId="718631866">
    <w:abstractNumId w:val="18"/>
  </w:num>
  <w:num w:numId="20" w16cid:durableId="1725988282">
    <w:abstractNumId w:val="19"/>
  </w:num>
  <w:num w:numId="21" w16cid:durableId="259147926">
    <w:abstractNumId w:val="20"/>
  </w:num>
  <w:num w:numId="22" w16cid:durableId="1757248054">
    <w:abstractNumId w:val="21"/>
  </w:num>
  <w:num w:numId="23" w16cid:durableId="946891496">
    <w:abstractNumId w:val="22"/>
  </w:num>
  <w:num w:numId="24" w16cid:durableId="450630552">
    <w:abstractNumId w:val="23"/>
  </w:num>
  <w:num w:numId="25" w16cid:durableId="1613366998">
    <w:abstractNumId w:val="24"/>
  </w:num>
  <w:num w:numId="26" w16cid:durableId="2022663759">
    <w:abstractNumId w:val="25"/>
  </w:num>
  <w:num w:numId="27" w16cid:durableId="822893844">
    <w:abstractNumId w:val="26"/>
  </w:num>
  <w:num w:numId="28" w16cid:durableId="305353920">
    <w:abstractNumId w:val="27"/>
  </w:num>
  <w:num w:numId="29" w16cid:durableId="164322838">
    <w:abstractNumId w:val="28"/>
  </w:num>
  <w:num w:numId="30" w16cid:durableId="1257639397">
    <w:abstractNumId w:val="29"/>
  </w:num>
  <w:num w:numId="31" w16cid:durableId="814689111">
    <w:abstractNumId w:val="30"/>
  </w:num>
  <w:num w:numId="32" w16cid:durableId="1546671253">
    <w:abstractNumId w:val="31"/>
  </w:num>
  <w:num w:numId="33" w16cid:durableId="652564745">
    <w:abstractNumId w:val="32"/>
  </w:num>
  <w:num w:numId="34" w16cid:durableId="1729105297">
    <w:abstractNumId w:val="33"/>
  </w:num>
  <w:num w:numId="35" w16cid:durableId="323094633">
    <w:abstractNumId w:val="34"/>
  </w:num>
  <w:num w:numId="36" w16cid:durableId="1324966106">
    <w:abstractNumId w:val="35"/>
  </w:num>
  <w:num w:numId="37" w16cid:durableId="1386563925">
    <w:abstractNumId w:val="36"/>
  </w:num>
  <w:num w:numId="38" w16cid:durableId="84228632">
    <w:abstractNumId w:val="37"/>
  </w:num>
  <w:num w:numId="39" w16cid:durableId="1706445510">
    <w:abstractNumId w:val="38"/>
  </w:num>
  <w:num w:numId="40" w16cid:durableId="1396900743">
    <w:abstractNumId w:val="39"/>
  </w:num>
  <w:num w:numId="41" w16cid:durableId="1964655319">
    <w:abstractNumId w:val="40"/>
  </w:num>
  <w:num w:numId="42" w16cid:durableId="36705771">
    <w:abstractNumId w:val="41"/>
  </w:num>
  <w:num w:numId="43" w16cid:durableId="146940624">
    <w:abstractNumId w:val="42"/>
  </w:num>
  <w:num w:numId="44" w16cid:durableId="1331328730">
    <w:abstractNumId w:val="43"/>
  </w:num>
  <w:num w:numId="45" w16cid:durableId="1553734665">
    <w:abstractNumId w:val="44"/>
  </w:num>
  <w:num w:numId="46" w16cid:durableId="1424379455">
    <w:abstractNumId w:val="45"/>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967"/>
    <w:rsid w:val="00034616"/>
    <w:rsid w:val="0006063C"/>
    <w:rsid w:val="000C5B8C"/>
    <w:rsid w:val="000E2EE7"/>
    <w:rsid w:val="0015074B"/>
    <w:rsid w:val="00173072"/>
    <w:rsid w:val="00232DBC"/>
    <w:rsid w:val="00237DDC"/>
    <w:rsid w:val="00291106"/>
    <w:rsid w:val="0029562B"/>
    <w:rsid w:val="0029639D"/>
    <w:rsid w:val="002D2117"/>
    <w:rsid w:val="00326F90"/>
    <w:rsid w:val="00350C9F"/>
    <w:rsid w:val="003A1957"/>
    <w:rsid w:val="004011CA"/>
    <w:rsid w:val="00401CD8"/>
    <w:rsid w:val="00402B6D"/>
    <w:rsid w:val="004075B4"/>
    <w:rsid w:val="00410387"/>
    <w:rsid w:val="00416842"/>
    <w:rsid w:val="00481D32"/>
    <w:rsid w:val="00500F44"/>
    <w:rsid w:val="00516E81"/>
    <w:rsid w:val="00522012"/>
    <w:rsid w:val="00533558"/>
    <w:rsid w:val="006858B1"/>
    <w:rsid w:val="006B4FDF"/>
    <w:rsid w:val="00731CC9"/>
    <w:rsid w:val="007621DC"/>
    <w:rsid w:val="007C02E6"/>
    <w:rsid w:val="00852039"/>
    <w:rsid w:val="00871F0A"/>
    <w:rsid w:val="008F1E5D"/>
    <w:rsid w:val="00933D00"/>
    <w:rsid w:val="00A40A17"/>
    <w:rsid w:val="00A468F1"/>
    <w:rsid w:val="00A862CE"/>
    <w:rsid w:val="00AA1D8D"/>
    <w:rsid w:val="00AC5A22"/>
    <w:rsid w:val="00B47730"/>
    <w:rsid w:val="00BA5768"/>
    <w:rsid w:val="00C76C4E"/>
    <w:rsid w:val="00CA3B5E"/>
    <w:rsid w:val="00CB0664"/>
    <w:rsid w:val="00D0151F"/>
    <w:rsid w:val="00D53D4E"/>
    <w:rsid w:val="00DC7CFE"/>
    <w:rsid w:val="00E25221"/>
    <w:rsid w:val="00E34711"/>
    <w:rsid w:val="00EA3BA3"/>
    <w:rsid w:val="00EB3CDF"/>
    <w:rsid w:val="00F11886"/>
    <w:rsid w:val="00F313F8"/>
    <w:rsid w:val="00F354B1"/>
    <w:rsid w:val="00F375CE"/>
    <w:rsid w:val="00F6452F"/>
    <w:rsid w:val="00F760A1"/>
    <w:rsid w:val="00FA3A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889057E-E2AE-C645-A8AB-34540390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A862CE"/>
    <w:pPr>
      <w:autoSpaceDE w:val="0"/>
      <w:autoSpaceDN w:val="0"/>
      <w:adjustRightInd w:val="0"/>
      <w:spacing w:after="0" w:line="240" w:lineRule="auto"/>
    </w:pPr>
    <w:rPr>
      <w:rFonts w:ascii="Arial" w:eastAsiaTheme="minorHAnsi" w:hAnsi="Arial" w:cs="Arial"/>
      <w:color w:val="000000"/>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19</Pages>
  <Words>2940</Words>
  <Characters>15790</Characters>
  <Application>Microsoft Office Word</Application>
  <DocSecurity>0</DocSecurity>
  <Lines>478</Lines>
  <Paragraphs>222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Laura Beveridge</cp:lastModifiedBy>
  <cp:revision>19</cp:revision>
  <dcterms:created xsi:type="dcterms:W3CDTF">2026-06-24T19:12:00Z</dcterms:created>
  <dcterms:modified xsi:type="dcterms:W3CDTF">2026-09-01T17:56:00Z</dcterms:modified>
  <cp:category/>
</cp:coreProperties>
</file>